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98183" w14:textId="77777777" w:rsidR="0023708C" w:rsidRDefault="0023708C">
      <w:pPr>
        <w:pStyle w:val="Textoindependiente"/>
        <w:rPr>
          <w:rFonts w:asciiTheme="minorHAnsi" w:hAnsiTheme="minorHAnsi" w:cstheme="minorHAnsi"/>
          <w:b/>
          <w:sz w:val="24"/>
          <w:szCs w:val="24"/>
        </w:rPr>
      </w:pPr>
    </w:p>
    <w:p w14:paraId="3C4E0FFC" w14:textId="77777777" w:rsidR="009F2B88" w:rsidRDefault="009F2B88" w:rsidP="009F2B88">
      <w:pPr>
        <w:jc w:val="center"/>
        <w:rPr>
          <w:rFonts w:asciiTheme="minorHAnsi" w:hAnsiTheme="minorHAnsi" w:cstheme="minorHAnsi"/>
          <w:b/>
        </w:rPr>
      </w:pPr>
      <w:r w:rsidRPr="00041902">
        <w:rPr>
          <w:rFonts w:asciiTheme="minorHAnsi" w:hAnsiTheme="minorHAnsi" w:cstheme="minorHAnsi"/>
          <w:b/>
        </w:rPr>
        <w:t>ANALISIS DEL SECTOR</w:t>
      </w:r>
    </w:p>
    <w:p w14:paraId="6EF10955" w14:textId="77777777" w:rsidR="00216BF2" w:rsidRPr="00E02BD3" w:rsidRDefault="00976EA3" w:rsidP="00216BF2">
      <w:pPr>
        <w:pStyle w:val="Sinespaciado"/>
        <w:ind w:left="284"/>
        <w:jc w:val="center"/>
        <w:rPr>
          <w:rFonts w:ascii="Poppins" w:hAnsi="Poppins" w:cs="Poppins"/>
          <w:b/>
          <w:sz w:val="20"/>
          <w:szCs w:val="20"/>
        </w:rPr>
      </w:pPr>
      <w:r w:rsidRPr="00976EA3">
        <w:rPr>
          <w:rFonts w:cstheme="minorHAnsi"/>
          <w:b/>
        </w:rPr>
        <w:t xml:space="preserve">CONCURSO DE MERITOS </w:t>
      </w:r>
      <w:r w:rsidR="00216BF2" w:rsidRPr="00216BF2">
        <w:rPr>
          <w:rFonts w:ascii="Poppins" w:hAnsi="Poppins" w:cs="Poppins"/>
          <w:b/>
          <w:sz w:val="20"/>
          <w:szCs w:val="20"/>
          <w:highlight w:val="green"/>
        </w:rPr>
        <w:t>N. XXX DE XXXX</w:t>
      </w:r>
    </w:p>
    <w:p w14:paraId="6EFAAA00" w14:textId="2FFFE54F" w:rsidR="00976EA3" w:rsidRPr="00216BF2" w:rsidRDefault="00976EA3" w:rsidP="00976EA3">
      <w:pPr>
        <w:jc w:val="center"/>
        <w:rPr>
          <w:rFonts w:asciiTheme="minorHAnsi" w:hAnsiTheme="minorHAnsi" w:cstheme="minorHAnsi"/>
          <w:b/>
          <w:lang w:val="es-CO"/>
        </w:rPr>
      </w:pPr>
    </w:p>
    <w:p w14:paraId="219512B0" w14:textId="77777777" w:rsidR="00976EA3" w:rsidRPr="00041902" w:rsidRDefault="00976EA3" w:rsidP="009F2B88">
      <w:pPr>
        <w:jc w:val="center"/>
        <w:rPr>
          <w:rFonts w:asciiTheme="minorHAnsi" w:hAnsiTheme="minorHAnsi" w:cstheme="minorHAnsi"/>
          <w:b/>
        </w:rPr>
      </w:pPr>
    </w:p>
    <w:p w14:paraId="19C81CFA" w14:textId="77777777" w:rsidR="009F2B88" w:rsidRDefault="009F2B88" w:rsidP="009F2B88">
      <w:pPr>
        <w:jc w:val="both"/>
        <w:rPr>
          <w:rFonts w:asciiTheme="minorHAnsi" w:hAnsiTheme="minorHAnsi" w:cstheme="minorHAnsi"/>
          <w:b/>
        </w:rPr>
      </w:pPr>
      <w:r w:rsidRPr="00041902">
        <w:rPr>
          <w:rFonts w:asciiTheme="minorHAnsi" w:hAnsiTheme="minorHAnsi" w:cstheme="minorHAnsi"/>
          <w:b/>
        </w:rPr>
        <w:t xml:space="preserve">OBJETO  </w:t>
      </w:r>
    </w:p>
    <w:p w14:paraId="14348DE3" w14:textId="77777777" w:rsidR="008563B9" w:rsidRPr="00041902" w:rsidRDefault="008563B9" w:rsidP="009F2B88">
      <w:pPr>
        <w:jc w:val="both"/>
        <w:rPr>
          <w:rFonts w:asciiTheme="minorHAnsi" w:hAnsiTheme="minorHAnsi" w:cstheme="minorHAnsi"/>
          <w:b/>
        </w:rPr>
      </w:pPr>
    </w:p>
    <w:p w14:paraId="7732A09E" w14:textId="77777777" w:rsidR="00B4554B" w:rsidRPr="00E02BD3" w:rsidRDefault="00B4554B" w:rsidP="00B4554B">
      <w:pPr>
        <w:tabs>
          <w:tab w:val="center" w:pos="-7655"/>
        </w:tabs>
        <w:ind w:left="284"/>
        <w:rPr>
          <w:rFonts w:ascii="Poppins" w:hAnsi="Poppins" w:cs="Poppins"/>
          <w:b/>
          <w:sz w:val="20"/>
          <w:szCs w:val="20"/>
        </w:rPr>
      </w:pPr>
      <w:r w:rsidRPr="00B4554B">
        <w:rPr>
          <w:rFonts w:ascii="Poppins" w:hAnsi="Poppins" w:cs="Poppins"/>
          <w:b/>
          <w:sz w:val="20"/>
          <w:szCs w:val="20"/>
          <w:highlight w:val="green"/>
        </w:rPr>
        <w:t>“DESCRIBIR EL OBJETO”</w:t>
      </w:r>
    </w:p>
    <w:p w14:paraId="118E061B" w14:textId="77777777" w:rsidR="00C27E3A" w:rsidRPr="00041902" w:rsidRDefault="00C27E3A" w:rsidP="009F2B88">
      <w:pPr>
        <w:pStyle w:val="Textoindependiente"/>
        <w:ind w:right="456"/>
        <w:jc w:val="both"/>
        <w:rPr>
          <w:rFonts w:asciiTheme="minorHAnsi" w:hAnsiTheme="minorHAnsi" w:cstheme="minorHAnsi"/>
        </w:rPr>
      </w:pPr>
    </w:p>
    <w:p w14:paraId="4F14FF3C" w14:textId="77777777" w:rsidR="009F2B88" w:rsidRPr="00041902" w:rsidRDefault="009F2B88" w:rsidP="009F2B88">
      <w:pPr>
        <w:widowControl/>
        <w:numPr>
          <w:ilvl w:val="0"/>
          <w:numId w:val="12"/>
        </w:numPr>
        <w:pBdr>
          <w:top w:val="nil"/>
          <w:left w:val="nil"/>
          <w:bottom w:val="nil"/>
          <w:right w:val="nil"/>
          <w:between w:val="nil"/>
        </w:pBdr>
        <w:autoSpaceDE/>
        <w:autoSpaceDN/>
        <w:spacing w:line="259" w:lineRule="auto"/>
        <w:jc w:val="both"/>
        <w:rPr>
          <w:rFonts w:asciiTheme="minorHAnsi" w:hAnsiTheme="minorHAnsi" w:cstheme="minorHAnsi"/>
          <w:color w:val="000000"/>
        </w:rPr>
      </w:pPr>
      <w:r w:rsidRPr="00041902">
        <w:rPr>
          <w:rFonts w:asciiTheme="minorHAnsi" w:hAnsiTheme="minorHAnsi" w:cstheme="minorHAnsi"/>
          <w:b/>
          <w:color w:val="000000"/>
        </w:rPr>
        <w:t xml:space="preserve">CONTEXTO ECONÓMICO DEL SECTOR.  </w:t>
      </w:r>
    </w:p>
    <w:p w14:paraId="73908798" w14:textId="77777777" w:rsidR="009F2B88" w:rsidRPr="00041902" w:rsidRDefault="009F2B88" w:rsidP="009F2B88">
      <w:pPr>
        <w:pBdr>
          <w:top w:val="nil"/>
          <w:left w:val="nil"/>
          <w:bottom w:val="nil"/>
          <w:right w:val="nil"/>
          <w:between w:val="nil"/>
        </w:pBdr>
        <w:ind w:left="720"/>
        <w:jc w:val="both"/>
        <w:rPr>
          <w:rFonts w:asciiTheme="minorHAnsi" w:hAnsiTheme="minorHAnsi" w:cstheme="minorHAnsi"/>
          <w:b/>
          <w:color w:val="000000"/>
        </w:rPr>
      </w:pPr>
    </w:p>
    <w:p w14:paraId="0AAEDA84" w14:textId="77777777" w:rsidR="009F2B88" w:rsidRPr="00041902" w:rsidRDefault="009F2B88" w:rsidP="009F2B88">
      <w:pPr>
        <w:widowControl/>
        <w:numPr>
          <w:ilvl w:val="1"/>
          <w:numId w:val="12"/>
        </w:numPr>
        <w:pBdr>
          <w:top w:val="nil"/>
          <w:left w:val="nil"/>
          <w:bottom w:val="nil"/>
          <w:right w:val="nil"/>
          <w:between w:val="nil"/>
        </w:pBdr>
        <w:autoSpaceDE/>
        <w:autoSpaceDN/>
        <w:spacing w:line="259" w:lineRule="auto"/>
        <w:jc w:val="both"/>
        <w:rPr>
          <w:rFonts w:asciiTheme="minorHAnsi" w:hAnsiTheme="minorHAnsi" w:cstheme="minorHAnsi"/>
          <w:b/>
          <w:color w:val="000000"/>
        </w:rPr>
      </w:pPr>
      <w:r w:rsidRPr="00041902">
        <w:rPr>
          <w:rFonts w:asciiTheme="minorHAnsi" w:hAnsiTheme="minorHAnsi" w:cstheme="minorHAnsi"/>
          <w:b/>
          <w:color w:val="000000"/>
        </w:rPr>
        <w:t xml:space="preserve">ASPECTOS GENERALES:  </w:t>
      </w:r>
    </w:p>
    <w:p w14:paraId="7101BD03" w14:textId="77777777" w:rsidR="009F2B88" w:rsidRPr="00041902" w:rsidRDefault="009F2B88" w:rsidP="009F2B88">
      <w:pPr>
        <w:pBdr>
          <w:top w:val="nil"/>
          <w:left w:val="nil"/>
          <w:bottom w:val="nil"/>
          <w:right w:val="nil"/>
          <w:between w:val="nil"/>
        </w:pBdr>
        <w:ind w:left="855"/>
        <w:jc w:val="both"/>
        <w:rPr>
          <w:rFonts w:asciiTheme="minorHAnsi" w:hAnsiTheme="minorHAnsi" w:cstheme="minorHAnsi"/>
          <w:b/>
          <w:color w:val="000000"/>
        </w:rPr>
      </w:pPr>
    </w:p>
    <w:p w14:paraId="6ABD0BBB" w14:textId="77777777" w:rsidR="009F2B88" w:rsidRPr="009F2B88" w:rsidRDefault="009F2B88" w:rsidP="009F2B88">
      <w:pPr>
        <w:pStyle w:val="Default"/>
        <w:rPr>
          <w:rFonts w:asciiTheme="minorHAnsi" w:hAnsiTheme="minorHAnsi" w:cstheme="minorHAnsi"/>
          <w:sz w:val="22"/>
          <w:szCs w:val="22"/>
          <w:lang w:val="es-CO"/>
        </w:rPr>
      </w:pPr>
      <w:r w:rsidRPr="009F2B88">
        <w:rPr>
          <w:rFonts w:asciiTheme="minorHAnsi" w:hAnsiTheme="minorHAnsi" w:cstheme="minorHAnsi"/>
          <w:b/>
          <w:sz w:val="22"/>
          <w:szCs w:val="22"/>
          <w:lang w:val="es-CO"/>
        </w:rPr>
        <w:t>Los sectores económicos en el país son los siguientes</w:t>
      </w:r>
      <w:r w:rsidRPr="009F2B88">
        <w:rPr>
          <w:rFonts w:asciiTheme="minorHAnsi" w:hAnsiTheme="minorHAnsi" w:cstheme="minorHAnsi"/>
          <w:sz w:val="22"/>
          <w:szCs w:val="22"/>
          <w:lang w:val="es-CO"/>
        </w:rPr>
        <w:t xml:space="preserve">. </w:t>
      </w:r>
    </w:p>
    <w:p w14:paraId="7177F7A5" w14:textId="77777777" w:rsidR="009F2B88" w:rsidRPr="009F2B88" w:rsidRDefault="009F2B88" w:rsidP="009F2B88">
      <w:pPr>
        <w:pStyle w:val="Default"/>
        <w:rPr>
          <w:rFonts w:asciiTheme="minorHAnsi" w:hAnsiTheme="minorHAnsi" w:cstheme="minorHAnsi"/>
          <w:sz w:val="22"/>
          <w:szCs w:val="22"/>
          <w:lang w:val="es-CO"/>
        </w:rPr>
      </w:pPr>
    </w:p>
    <w:p w14:paraId="226478AB" w14:textId="77777777" w:rsidR="009F2B88" w:rsidRPr="00B4554B" w:rsidRDefault="009F2B88" w:rsidP="009F2B88">
      <w:pPr>
        <w:pStyle w:val="Default"/>
        <w:rPr>
          <w:rFonts w:asciiTheme="minorHAnsi" w:hAnsiTheme="minorHAnsi" w:cstheme="minorHAnsi"/>
          <w:sz w:val="22"/>
          <w:szCs w:val="22"/>
          <w:highlight w:val="green"/>
          <w:lang w:val="es-CO"/>
        </w:rPr>
      </w:pPr>
      <w:r w:rsidRPr="00B4554B">
        <w:rPr>
          <w:rFonts w:asciiTheme="minorHAnsi" w:hAnsiTheme="minorHAnsi" w:cstheme="minorHAnsi"/>
          <w:sz w:val="22"/>
          <w:szCs w:val="22"/>
          <w:highlight w:val="green"/>
          <w:lang w:val="es-CO"/>
        </w:rPr>
        <w:t xml:space="preserve">Sector primario o sector Agrícola. </w:t>
      </w:r>
    </w:p>
    <w:p w14:paraId="0375F830" w14:textId="77777777" w:rsidR="009F2B88" w:rsidRPr="00B4554B" w:rsidRDefault="009F2B88" w:rsidP="009F2B88">
      <w:pPr>
        <w:pStyle w:val="Default"/>
        <w:rPr>
          <w:rFonts w:asciiTheme="minorHAnsi" w:hAnsiTheme="minorHAnsi" w:cstheme="minorHAnsi"/>
          <w:sz w:val="22"/>
          <w:szCs w:val="22"/>
          <w:highlight w:val="green"/>
          <w:lang w:val="es-CO"/>
        </w:rPr>
      </w:pPr>
      <w:r w:rsidRPr="00B4554B">
        <w:rPr>
          <w:rFonts w:asciiTheme="minorHAnsi" w:hAnsiTheme="minorHAnsi" w:cstheme="minorHAnsi"/>
          <w:sz w:val="22"/>
          <w:szCs w:val="22"/>
          <w:highlight w:val="green"/>
          <w:lang w:val="es-CO"/>
        </w:rPr>
        <w:t xml:space="preserve">Sector secundario o sector industrial. </w:t>
      </w:r>
    </w:p>
    <w:p w14:paraId="5FBF0887" w14:textId="77777777" w:rsidR="009F2B88" w:rsidRPr="00B4554B" w:rsidRDefault="009F2B88" w:rsidP="009F2B88">
      <w:pPr>
        <w:adjustRightInd w:val="0"/>
        <w:jc w:val="both"/>
        <w:rPr>
          <w:rFonts w:asciiTheme="minorHAnsi" w:hAnsiTheme="minorHAnsi" w:cstheme="minorHAnsi"/>
          <w:highlight w:val="green"/>
        </w:rPr>
      </w:pPr>
      <w:r w:rsidRPr="00B4554B">
        <w:rPr>
          <w:rFonts w:asciiTheme="minorHAnsi" w:hAnsiTheme="minorHAnsi" w:cstheme="minorHAnsi"/>
          <w:highlight w:val="green"/>
        </w:rPr>
        <w:t>Sector terciario o sector de prestación de servicios.</w:t>
      </w:r>
    </w:p>
    <w:p w14:paraId="0D5A6E73" w14:textId="77777777" w:rsidR="00C27E3A" w:rsidRPr="00B4554B" w:rsidRDefault="00C27E3A" w:rsidP="009F2B88">
      <w:pPr>
        <w:adjustRightInd w:val="0"/>
        <w:jc w:val="both"/>
        <w:rPr>
          <w:rFonts w:asciiTheme="minorHAnsi" w:hAnsiTheme="minorHAnsi" w:cstheme="minorHAnsi"/>
          <w:highlight w:val="gree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4"/>
        <w:gridCol w:w="7439"/>
        <w:gridCol w:w="1647"/>
      </w:tblGrid>
      <w:tr w:rsidR="009F2B88" w:rsidRPr="00B4554B" w14:paraId="28A555EF" w14:textId="77777777" w:rsidTr="00A616D0">
        <w:trPr>
          <w:trHeight w:val="59"/>
        </w:trPr>
        <w:tc>
          <w:tcPr>
            <w:tcW w:w="742" w:type="pct"/>
            <w:vAlign w:val="center"/>
          </w:tcPr>
          <w:p w14:paraId="3EB6FAA2"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Sectores Económicos</w:t>
            </w:r>
          </w:p>
        </w:tc>
        <w:tc>
          <w:tcPr>
            <w:tcW w:w="3486" w:type="pct"/>
            <w:vAlign w:val="center"/>
          </w:tcPr>
          <w:p w14:paraId="0CB9FFA8"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Definición</w:t>
            </w:r>
          </w:p>
        </w:tc>
        <w:tc>
          <w:tcPr>
            <w:tcW w:w="770" w:type="pct"/>
            <w:vAlign w:val="center"/>
          </w:tcPr>
          <w:p w14:paraId="56918B99"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Actividades del sector</w:t>
            </w:r>
          </w:p>
        </w:tc>
      </w:tr>
      <w:tr w:rsidR="009F2B88" w:rsidRPr="00B4554B" w14:paraId="4E266640" w14:textId="77777777" w:rsidTr="00A616D0">
        <w:trPr>
          <w:trHeight w:val="277"/>
        </w:trPr>
        <w:tc>
          <w:tcPr>
            <w:tcW w:w="742" w:type="pct"/>
            <w:vAlign w:val="center"/>
          </w:tcPr>
          <w:p w14:paraId="69DE7422"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Primario o Agropecuario</w:t>
            </w:r>
          </w:p>
        </w:tc>
        <w:tc>
          <w:tcPr>
            <w:tcW w:w="3486" w:type="pct"/>
            <w:vAlign w:val="center"/>
          </w:tcPr>
          <w:p w14:paraId="161A330A"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Es el sector que obtiene el producto de sus actividades directamente de la naturaleza, sin ningún proceso de transformación. Dentro de este sector se encuentran la agricultura, la ganadería, la silvicultura, la caza y la pesca. No se incluyen dentro de este sector a la minería y a la extracción de petróleo, las cuales se consideran parte del sector industrial.</w:t>
            </w:r>
          </w:p>
        </w:tc>
        <w:tc>
          <w:tcPr>
            <w:tcW w:w="770" w:type="pct"/>
            <w:vAlign w:val="center"/>
          </w:tcPr>
          <w:p w14:paraId="0624D5B0"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Agropecuario, caza o pesca</w:t>
            </w:r>
          </w:p>
        </w:tc>
      </w:tr>
      <w:tr w:rsidR="009F2B88" w:rsidRPr="00B4554B" w14:paraId="3410FE7F" w14:textId="77777777" w:rsidTr="00A616D0">
        <w:trPr>
          <w:trHeight w:val="497"/>
        </w:trPr>
        <w:tc>
          <w:tcPr>
            <w:tcW w:w="742" w:type="pct"/>
            <w:vAlign w:val="center"/>
          </w:tcPr>
          <w:p w14:paraId="322D90A0"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Secundario o Industrial</w:t>
            </w:r>
          </w:p>
        </w:tc>
        <w:tc>
          <w:tcPr>
            <w:tcW w:w="3486" w:type="pct"/>
            <w:vAlign w:val="center"/>
          </w:tcPr>
          <w:p w14:paraId="191208C5"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 xml:space="preserve">Comprende todas las actividades económicas de un país relacionadas con la transformación industrial de los alimentos y otros tipos de bienes o mercancías, los cuales se utilizan como base para la fabricación de nuevos productos. Se divide en dos </w:t>
            </w:r>
            <w:proofErr w:type="spellStart"/>
            <w:r w:rsidRPr="00B4554B">
              <w:rPr>
                <w:rFonts w:asciiTheme="minorHAnsi" w:hAnsiTheme="minorHAnsi" w:cstheme="minorHAnsi"/>
                <w:color w:val="000000"/>
                <w:sz w:val="18"/>
                <w:szCs w:val="18"/>
                <w:highlight w:val="green"/>
              </w:rPr>
              <w:t>sub-sectores</w:t>
            </w:r>
            <w:proofErr w:type="spellEnd"/>
            <w:r w:rsidRPr="00B4554B">
              <w:rPr>
                <w:rFonts w:asciiTheme="minorHAnsi" w:hAnsiTheme="minorHAnsi" w:cstheme="minorHAnsi"/>
                <w:color w:val="000000"/>
                <w:sz w:val="18"/>
                <w:szCs w:val="18"/>
                <w:highlight w:val="green"/>
              </w:rPr>
              <w:t>: industrial extractivo e industrial de transformación: Industrial Extractivo: extracción minera y de petróleo. INDUSTRIAL DE TRANSFORMACION: Envasado de legumbres y frutas, embotellado de refrescos, fabricación y abonos y fertilizantes, vehículos, aparatos electrodomésticos, etc.</w:t>
            </w:r>
          </w:p>
        </w:tc>
        <w:tc>
          <w:tcPr>
            <w:tcW w:w="770" w:type="pct"/>
            <w:vAlign w:val="center"/>
          </w:tcPr>
          <w:p w14:paraId="63E71B59"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Minería</w:t>
            </w:r>
          </w:p>
        </w:tc>
      </w:tr>
      <w:tr w:rsidR="009F2B88" w:rsidRPr="00B4554B" w14:paraId="20EAA968" w14:textId="77777777" w:rsidTr="00A616D0">
        <w:trPr>
          <w:trHeight w:val="59"/>
        </w:trPr>
        <w:tc>
          <w:tcPr>
            <w:tcW w:w="5000" w:type="pct"/>
            <w:gridSpan w:val="3"/>
            <w:vAlign w:val="center"/>
          </w:tcPr>
          <w:p w14:paraId="0B002DD3"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Construcción</w:t>
            </w:r>
          </w:p>
        </w:tc>
      </w:tr>
      <w:tr w:rsidR="009F2B88" w:rsidRPr="00B4554B" w14:paraId="58B7C34C" w14:textId="77777777" w:rsidTr="00A616D0">
        <w:trPr>
          <w:trHeight w:val="132"/>
        </w:trPr>
        <w:tc>
          <w:tcPr>
            <w:tcW w:w="5000" w:type="pct"/>
            <w:gridSpan w:val="3"/>
            <w:vAlign w:val="center"/>
          </w:tcPr>
          <w:p w14:paraId="6571C5A2"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industria manufacturera</w:t>
            </w:r>
          </w:p>
        </w:tc>
      </w:tr>
      <w:tr w:rsidR="009F2B88" w:rsidRPr="00B4554B" w14:paraId="5EF0F227" w14:textId="77777777" w:rsidTr="00A616D0">
        <w:trPr>
          <w:trHeight w:val="132"/>
        </w:trPr>
        <w:tc>
          <w:tcPr>
            <w:tcW w:w="5000" w:type="pct"/>
            <w:gridSpan w:val="3"/>
            <w:vAlign w:val="center"/>
          </w:tcPr>
          <w:p w14:paraId="1CCC2695"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eléctrico, gas y vapor</w:t>
            </w:r>
          </w:p>
        </w:tc>
      </w:tr>
      <w:tr w:rsidR="009F2B88" w:rsidRPr="00B4554B" w14:paraId="6F2496D3" w14:textId="77777777" w:rsidTr="00A616D0">
        <w:trPr>
          <w:trHeight w:val="279"/>
        </w:trPr>
        <w:tc>
          <w:tcPr>
            <w:tcW w:w="742" w:type="pct"/>
            <w:vAlign w:val="center"/>
          </w:tcPr>
          <w:p w14:paraId="5C869BB5"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Terciario o de Servicios</w:t>
            </w:r>
          </w:p>
        </w:tc>
        <w:tc>
          <w:tcPr>
            <w:tcW w:w="3486" w:type="pct"/>
            <w:vAlign w:val="center"/>
          </w:tcPr>
          <w:p w14:paraId="33104AEB"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Incluye todas aquellas actividades que no producen una mercancía en sí, pero que son necesarias para el funcionamiento de la economía. Como por ejemplo de ellos tenemos el comercio, los restaurantes, los hoteles, el transporte, los servicios financieros, las comunicaciones, los servicios de educación, los servicios profesionales, el gobierno, etc.</w:t>
            </w:r>
          </w:p>
        </w:tc>
        <w:tc>
          <w:tcPr>
            <w:tcW w:w="770" w:type="pct"/>
            <w:vAlign w:val="center"/>
          </w:tcPr>
          <w:p w14:paraId="1316DCE2"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transportes</w:t>
            </w:r>
          </w:p>
        </w:tc>
      </w:tr>
      <w:tr w:rsidR="009F2B88" w:rsidRPr="00B4554B" w14:paraId="4A4ECF4E" w14:textId="77777777" w:rsidTr="00A616D0">
        <w:trPr>
          <w:trHeight w:val="59"/>
        </w:trPr>
        <w:tc>
          <w:tcPr>
            <w:tcW w:w="5000" w:type="pct"/>
            <w:gridSpan w:val="3"/>
            <w:vAlign w:val="center"/>
          </w:tcPr>
          <w:p w14:paraId="69BB1CDA"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comunicaciones</w:t>
            </w:r>
          </w:p>
        </w:tc>
      </w:tr>
      <w:tr w:rsidR="009F2B88" w:rsidRPr="00B4554B" w14:paraId="10274DC5" w14:textId="77777777" w:rsidTr="00A616D0">
        <w:trPr>
          <w:trHeight w:val="132"/>
        </w:trPr>
        <w:tc>
          <w:tcPr>
            <w:tcW w:w="5000" w:type="pct"/>
            <w:gridSpan w:val="3"/>
            <w:vAlign w:val="center"/>
          </w:tcPr>
          <w:p w14:paraId="4C73C3B1"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comercio, restaurante y hoteles</w:t>
            </w:r>
          </w:p>
        </w:tc>
      </w:tr>
      <w:tr w:rsidR="009F2B88" w:rsidRPr="00B4554B" w14:paraId="6741571E" w14:textId="77777777" w:rsidTr="00A616D0">
        <w:trPr>
          <w:trHeight w:val="59"/>
        </w:trPr>
        <w:tc>
          <w:tcPr>
            <w:tcW w:w="5000" w:type="pct"/>
            <w:gridSpan w:val="3"/>
            <w:vAlign w:val="center"/>
          </w:tcPr>
          <w:p w14:paraId="4EDF4AB1" w14:textId="77777777" w:rsidR="009F2B88" w:rsidRPr="00B4554B" w:rsidRDefault="009F2B88" w:rsidP="00A616D0">
            <w:pPr>
              <w:adjustRightInd w:val="0"/>
              <w:jc w:val="center"/>
              <w:rPr>
                <w:rFonts w:asciiTheme="minorHAnsi" w:hAnsiTheme="minorHAnsi" w:cstheme="minorHAnsi"/>
                <w:color w:val="000000"/>
                <w:sz w:val="18"/>
                <w:szCs w:val="18"/>
                <w:highlight w:val="green"/>
              </w:rPr>
            </w:pPr>
            <w:r w:rsidRPr="00B4554B">
              <w:rPr>
                <w:rFonts w:asciiTheme="minorHAnsi" w:hAnsiTheme="minorHAnsi" w:cstheme="minorHAnsi"/>
                <w:color w:val="000000"/>
                <w:sz w:val="18"/>
                <w:szCs w:val="18"/>
                <w:highlight w:val="green"/>
              </w:rPr>
              <w:t>Sector financiero</w:t>
            </w:r>
          </w:p>
        </w:tc>
      </w:tr>
    </w:tbl>
    <w:p w14:paraId="50B80C8A" w14:textId="77777777" w:rsidR="009F2B88" w:rsidRPr="00B4554B" w:rsidRDefault="009F2B88" w:rsidP="009F2B88">
      <w:pPr>
        <w:adjustRightInd w:val="0"/>
        <w:rPr>
          <w:rFonts w:asciiTheme="minorHAnsi" w:hAnsiTheme="minorHAnsi" w:cstheme="minorHAnsi"/>
          <w:bCs/>
          <w:highlight w:val="green"/>
        </w:rPr>
      </w:pPr>
    </w:p>
    <w:p w14:paraId="3FC5E087" w14:textId="77777777" w:rsidR="009F2B88" w:rsidRPr="00B4554B" w:rsidRDefault="009F2B88" w:rsidP="009F2B88">
      <w:pPr>
        <w:adjustRightInd w:val="0"/>
        <w:rPr>
          <w:rFonts w:asciiTheme="minorHAnsi" w:hAnsiTheme="minorHAnsi" w:cstheme="minorHAnsi"/>
          <w:bCs/>
          <w:highlight w:val="green"/>
        </w:rPr>
      </w:pPr>
      <w:r w:rsidRPr="00B4554B">
        <w:rPr>
          <w:rFonts w:asciiTheme="minorHAnsi" w:hAnsiTheme="minorHAnsi" w:cstheme="minorHAnsi"/>
          <w:bCs/>
          <w:highlight w:val="green"/>
        </w:rPr>
        <w:t xml:space="preserve">La presente contratación pertenece al sector terciario o de servicios así: </w:t>
      </w:r>
    </w:p>
    <w:p w14:paraId="25435F14" w14:textId="77777777" w:rsidR="009F2B88" w:rsidRPr="00B4554B" w:rsidRDefault="009F2B88" w:rsidP="009F2B88">
      <w:pPr>
        <w:adjustRightInd w:val="0"/>
        <w:jc w:val="both"/>
        <w:rPr>
          <w:rFonts w:asciiTheme="minorHAnsi" w:hAnsiTheme="minorHAnsi" w:cstheme="minorHAnsi"/>
          <w:highlight w:val="green"/>
        </w:rPr>
      </w:pPr>
      <w:r w:rsidRPr="00B4554B">
        <w:rPr>
          <w:rFonts w:asciiTheme="minorHAnsi" w:hAnsiTheme="minorHAnsi" w:cstheme="minorHAnsi"/>
          <w:highlight w:val="green"/>
        </w:rPr>
        <w:t>El sector terciario se define como el sector de prestación de servicios, y es donde se desarrolla la distribución y comercialización de los bienes tangibles e intangibles, como la oferta de servicios prestados a empresas o particulares.</w:t>
      </w:r>
    </w:p>
    <w:p w14:paraId="24A35969" w14:textId="77777777" w:rsidR="009F2B88" w:rsidRPr="00B4554B" w:rsidRDefault="009F2B88" w:rsidP="009F2B88">
      <w:pPr>
        <w:adjustRightInd w:val="0"/>
        <w:rPr>
          <w:rFonts w:asciiTheme="minorHAnsi" w:hAnsiTheme="minorHAnsi" w:cstheme="minorHAnsi"/>
          <w:highlight w:val="green"/>
        </w:rPr>
      </w:pPr>
      <w:r w:rsidRPr="00B4554B">
        <w:rPr>
          <w:rFonts w:asciiTheme="minorHAnsi" w:hAnsiTheme="minorHAnsi" w:cstheme="minorHAnsi"/>
          <w:highlight w:val="green"/>
        </w:rPr>
        <w:t>Se destaca en este sector, los servicios comerciales, bancarios, turísticos, etc.</w:t>
      </w:r>
    </w:p>
    <w:p w14:paraId="1A229DD8" w14:textId="77777777" w:rsidR="00313D04" w:rsidRPr="00B4554B" w:rsidRDefault="00313D04" w:rsidP="009F2B88">
      <w:pPr>
        <w:adjustRightInd w:val="0"/>
        <w:rPr>
          <w:rFonts w:asciiTheme="minorHAnsi" w:hAnsiTheme="minorHAnsi" w:cstheme="minorHAnsi"/>
          <w:highlight w:val="green"/>
        </w:rPr>
      </w:pPr>
    </w:p>
    <w:p w14:paraId="63D5C8EF" w14:textId="77777777" w:rsidR="00313D04" w:rsidRPr="00B4554B" w:rsidRDefault="00313D04" w:rsidP="009F2B88">
      <w:pPr>
        <w:adjustRightInd w:val="0"/>
        <w:rPr>
          <w:rFonts w:asciiTheme="minorHAnsi" w:hAnsiTheme="minorHAnsi" w:cstheme="minorHAnsi"/>
          <w:highlight w:val="green"/>
        </w:rPr>
      </w:pPr>
    </w:p>
    <w:p w14:paraId="279D1262" w14:textId="77777777" w:rsidR="00313D04" w:rsidRPr="00B4554B" w:rsidRDefault="00313D04" w:rsidP="009F2B88">
      <w:pPr>
        <w:adjustRightInd w:val="0"/>
        <w:rPr>
          <w:rFonts w:asciiTheme="minorHAnsi" w:hAnsiTheme="minorHAnsi" w:cstheme="minorHAnsi"/>
          <w:highlight w:val="green"/>
        </w:rPr>
      </w:pPr>
    </w:p>
    <w:p w14:paraId="085C8FE0" w14:textId="77777777" w:rsidR="00313D04" w:rsidRPr="00B4554B" w:rsidRDefault="00313D04" w:rsidP="009F2B88">
      <w:pPr>
        <w:adjustRightInd w:val="0"/>
        <w:rPr>
          <w:rFonts w:asciiTheme="minorHAnsi" w:hAnsiTheme="minorHAnsi" w:cstheme="minorHAnsi"/>
          <w:highlight w:val="green"/>
        </w:rPr>
      </w:pPr>
    </w:p>
    <w:p w14:paraId="29A9CE23" w14:textId="77777777" w:rsidR="009F2B88" w:rsidRPr="00B4554B" w:rsidRDefault="009F2B88" w:rsidP="009F2B88">
      <w:pPr>
        <w:adjustRightInd w:val="0"/>
        <w:jc w:val="center"/>
        <w:rPr>
          <w:rFonts w:asciiTheme="minorHAnsi" w:hAnsiTheme="minorHAnsi" w:cstheme="minorHAnsi"/>
          <w:noProof/>
          <w:highlight w:val="green"/>
        </w:rPr>
      </w:pPr>
      <w:r w:rsidRPr="00B4554B">
        <w:rPr>
          <w:rFonts w:asciiTheme="minorHAnsi" w:hAnsiTheme="minorHAnsi" w:cstheme="minorHAnsi"/>
          <w:noProof/>
          <w:highlight w:val="green"/>
          <w:lang w:val="en-US"/>
        </w:rPr>
        <w:drawing>
          <wp:inline distT="0" distB="0" distL="0" distR="0" wp14:anchorId="4DF82584" wp14:editId="43C40F6C">
            <wp:extent cx="4788124" cy="2524125"/>
            <wp:effectExtent l="19050" t="19050" r="12700" b="9525"/>
            <wp:docPr id="1512761523"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61523" name="Imagen 2" descr="Interfaz de usuario gráfica, Texto, Aplicación&#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l="30492" t="44118" r="35091" b="23950"/>
                    <a:stretch>
                      <a:fillRect/>
                    </a:stretch>
                  </pic:blipFill>
                  <pic:spPr bwMode="auto">
                    <a:xfrm>
                      <a:off x="0" y="0"/>
                      <a:ext cx="4797258" cy="2528940"/>
                    </a:xfrm>
                    <a:prstGeom prst="rect">
                      <a:avLst/>
                    </a:prstGeom>
                    <a:noFill/>
                    <a:ln>
                      <a:solidFill>
                        <a:schemeClr val="accent1"/>
                      </a:solidFill>
                    </a:ln>
                  </pic:spPr>
                </pic:pic>
              </a:graphicData>
            </a:graphic>
          </wp:inline>
        </w:drawing>
      </w:r>
    </w:p>
    <w:p w14:paraId="09075ED2" w14:textId="77777777" w:rsidR="00271F9B" w:rsidRPr="00B4554B" w:rsidRDefault="00271F9B" w:rsidP="009F2B88">
      <w:pPr>
        <w:adjustRightInd w:val="0"/>
        <w:jc w:val="center"/>
        <w:rPr>
          <w:rFonts w:asciiTheme="minorHAnsi" w:hAnsiTheme="minorHAnsi" w:cstheme="minorHAnsi"/>
          <w:noProof/>
          <w:highlight w:val="green"/>
        </w:rPr>
      </w:pPr>
    </w:p>
    <w:p w14:paraId="7255E902" w14:textId="77777777" w:rsidR="009F2B88" w:rsidRPr="00B4554B" w:rsidRDefault="009F2B88" w:rsidP="009F2B88">
      <w:pPr>
        <w:pStyle w:val="NormalWeb"/>
        <w:shd w:val="clear" w:color="auto" w:fill="FDFDFD"/>
        <w:spacing w:before="75" w:beforeAutospacing="0" w:after="75" w:afterAutospacing="0"/>
        <w:jc w:val="both"/>
        <w:rPr>
          <w:rFonts w:asciiTheme="minorHAnsi" w:hAnsiTheme="minorHAnsi" w:cstheme="minorHAnsi"/>
          <w:highlight w:val="green"/>
        </w:rPr>
      </w:pPr>
      <w:r w:rsidRPr="00B4554B">
        <w:rPr>
          <w:rFonts w:asciiTheme="minorHAnsi" w:hAnsiTheme="minorHAnsi" w:cstheme="minorHAnsi"/>
          <w:highlight w:val="green"/>
        </w:rPr>
        <w:t xml:space="preserve">Actividades inmobiliarias en el tercer trimestre de 2023, el valor agregado de las actividades inmobiliarias crece 1,8% en su serie original, respecto al mismo periodo de 2022. </w:t>
      </w:r>
    </w:p>
    <w:p w14:paraId="64D8D8D3" w14:textId="77777777" w:rsidR="009F2B88" w:rsidRPr="00B4554B" w:rsidRDefault="009F2B88" w:rsidP="009F2B88">
      <w:pPr>
        <w:pStyle w:val="NormalWeb"/>
        <w:shd w:val="clear" w:color="auto" w:fill="FDFDFD"/>
        <w:spacing w:before="75" w:beforeAutospacing="0" w:after="75" w:afterAutospacing="0"/>
        <w:jc w:val="both"/>
        <w:rPr>
          <w:rFonts w:asciiTheme="minorHAnsi" w:hAnsiTheme="minorHAnsi" w:cstheme="minorHAnsi"/>
          <w:highlight w:val="green"/>
        </w:rPr>
      </w:pPr>
    </w:p>
    <w:p w14:paraId="6E031474" w14:textId="77777777" w:rsidR="009F2B88" w:rsidRPr="00B4554B" w:rsidRDefault="009F2B88" w:rsidP="009F2B88">
      <w:pPr>
        <w:pStyle w:val="NormalWeb"/>
        <w:shd w:val="clear" w:color="auto" w:fill="FDFDFD"/>
        <w:spacing w:before="75" w:beforeAutospacing="0" w:after="75" w:afterAutospacing="0"/>
        <w:jc w:val="center"/>
        <w:rPr>
          <w:rFonts w:asciiTheme="minorHAnsi" w:hAnsiTheme="minorHAnsi" w:cstheme="minorHAnsi"/>
          <w:color w:val="3C3C3B"/>
          <w:highlight w:val="green"/>
        </w:rPr>
      </w:pPr>
      <w:r w:rsidRPr="00B4554B">
        <w:rPr>
          <w:rFonts w:asciiTheme="minorHAnsi" w:hAnsiTheme="minorHAnsi" w:cstheme="minorHAnsi"/>
          <w:noProof/>
          <w:color w:val="3C3C3B"/>
          <w:highlight w:val="green"/>
          <w:lang w:val="en-US" w:eastAsia="en-US"/>
        </w:rPr>
        <w:lastRenderedPageBreak/>
        <w:drawing>
          <wp:inline distT="0" distB="0" distL="0" distR="0" wp14:anchorId="53906D3D" wp14:editId="69F1D5BF">
            <wp:extent cx="4647565" cy="3625671"/>
            <wp:effectExtent l="19050" t="19050" r="19685" b="13335"/>
            <wp:docPr id="1539203609" name="Imagen 1"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03609" name="Imagen 1" descr="Imagen que contiene Gráfic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2595" cy="3645197"/>
                    </a:xfrm>
                    <a:prstGeom prst="rect">
                      <a:avLst/>
                    </a:prstGeom>
                    <a:noFill/>
                    <a:ln>
                      <a:solidFill>
                        <a:schemeClr val="accent1"/>
                      </a:solidFill>
                    </a:ln>
                  </pic:spPr>
                </pic:pic>
              </a:graphicData>
            </a:graphic>
          </wp:inline>
        </w:drawing>
      </w:r>
    </w:p>
    <w:p w14:paraId="0FDFBEB7" w14:textId="77777777" w:rsidR="00A42E0D" w:rsidRPr="00B4554B" w:rsidRDefault="00A42E0D" w:rsidP="009F2B88">
      <w:pPr>
        <w:pStyle w:val="NormalWeb"/>
        <w:shd w:val="clear" w:color="auto" w:fill="FDFDFD"/>
        <w:spacing w:before="75" w:beforeAutospacing="0" w:after="75" w:afterAutospacing="0"/>
        <w:jc w:val="center"/>
        <w:rPr>
          <w:rFonts w:asciiTheme="minorHAnsi" w:hAnsiTheme="minorHAnsi" w:cstheme="minorHAnsi"/>
          <w:color w:val="3C3C3B"/>
          <w:highlight w:val="green"/>
        </w:rPr>
      </w:pPr>
    </w:p>
    <w:p w14:paraId="0734A55F" w14:textId="77777777" w:rsidR="009F2B88" w:rsidRPr="00B4554B" w:rsidRDefault="009F2B88" w:rsidP="009F2B88">
      <w:pPr>
        <w:pStyle w:val="NormalWeb"/>
        <w:shd w:val="clear" w:color="auto" w:fill="FDFDFD"/>
        <w:spacing w:before="75" w:beforeAutospacing="0" w:after="75" w:afterAutospacing="0"/>
        <w:rPr>
          <w:rFonts w:asciiTheme="minorHAnsi" w:eastAsia="Calibri" w:hAnsiTheme="minorHAnsi" w:cstheme="minorHAnsi"/>
          <w:b/>
          <w:highlight w:val="green"/>
          <w:lang w:eastAsia="en-US"/>
        </w:rPr>
      </w:pPr>
      <w:r w:rsidRPr="00B4554B">
        <w:rPr>
          <w:rFonts w:asciiTheme="minorHAnsi" w:hAnsiTheme="minorHAnsi" w:cstheme="minorHAnsi"/>
          <w:highlight w:val="green"/>
        </w:rPr>
        <w:t>En noviembre de 2023, quince de los dieciocho subsectores de servicios presentaron variación positiva en los ingresos totales, en comparación con octubre de 2022.</w:t>
      </w:r>
    </w:p>
    <w:p w14:paraId="09B8F17A" w14:textId="77777777" w:rsidR="009F2B88" w:rsidRPr="00B4554B" w:rsidRDefault="009F2B88" w:rsidP="009F2B88">
      <w:pPr>
        <w:adjustRightInd w:val="0"/>
        <w:jc w:val="both"/>
        <w:rPr>
          <w:rFonts w:asciiTheme="minorHAnsi" w:hAnsiTheme="minorHAnsi" w:cstheme="minorHAnsi"/>
          <w:color w:val="000000"/>
          <w:highlight w:val="green"/>
        </w:rPr>
      </w:pPr>
      <w:r w:rsidRPr="00B4554B">
        <w:rPr>
          <w:rFonts w:asciiTheme="minorHAnsi" w:hAnsiTheme="minorHAnsi" w:cstheme="minorHAnsi"/>
          <w:color w:val="000000"/>
          <w:highlight w:val="green"/>
        </w:rPr>
        <w:t>La Clasificación y/o Códigos es el siguiente: Naciones Unidas - UNSPSC el cual para la presente contratación.</w:t>
      </w:r>
    </w:p>
    <w:p w14:paraId="1E07C164" w14:textId="77777777" w:rsidR="00116ADB" w:rsidRPr="00B4554B" w:rsidRDefault="00116ADB" w:rsidP="009F2B88">
      <w:pPr>
        <w:adjustRightInd w:val="0"/>
        <w:jc w:val="both"/>
        <w:rPr>
          <w:rFonts w:asciiTheme="minorHAnsi" w:hAnsiTheme="minorHAnsi" w:cstheme="minorHAnsi"/>
          <w:color w:val="000000"/>
          <w:highlight w:val="green"/>
        </w:rPr>
      </w:pPr>
    </w:p>
    <w:tbl>
      <w:tblPr>
        <w:tblW w:w="9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5"/>
        <w:gridCol w:w="1567"/>
        <w:gridCol w:w="1918"/>
        <w:gridCol w:w="1742"/>
        <w:gridCol w:w="1846"/>
      </w:tblGrid>
      <w:tr w:rsidR="009F2B88" w:rsidRPr="00B4554B" w14:paraId="1AF4B316" w14:textId="77777777" w:rsidTr="00A616D0">
        <w:trPr>
          <w:trHeight w:val="304"/>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323E4F"/>
            <w:vAlign w:val="center"/>
            <w:hideMark/>
          </w:tcPr>
          <w:p w14:paraId="17147F22" w14:textId="77777777" w:rsidR="009F2B88" w:rsidRPr="00B4554B" w:rsidRDefault="009F2B88" w:rsidP="00A616D0">
            <w:pPr>
              <w:adjustRightInd w:val="0"/>
              <w:jc w:val="center"/>
              <w:rPr>
                <w:rFonts w:asciiTheme="minorHAnsi" w:hAnsiTheme="minorHAnsi" w:cstheme="minorHAnsi"/>
                <w:b/>
                <w:color w:val="FFFFFF" w:themeColor="background1"/>
                <w:sz w:val="20"/>
                <w:szCs w:val="20"/>
                <w:highlight w:val="green"/>
              </w:rPr>
            </w:pPr>
            <w:r w:rsidRPr="00B4554B">
              <w:rPr>
                <w:rFonts w:asciiTheme="minorHAnsi" w:hAnsiTheme="minorHAnsi" w:cstheme="minorHAnsi"/>
                <w:b/>
                <w:color w:val="FFFFFF" w:themeColor="background1"/>
                <w:sz w:val="20"/>
                <w:szCs w:val="20"/>
                <w:highlight w:val="green"/>
              </w:rPr>
              <w:t>CLASIFICACIÓN UNSPSC</w:t>
            </w:r>
          </w:p>
        </w:tc>
        <w:tc>
          <w:tcPr>
            <w:tcW w:w="1567" w:type="dxa"/>
            <w:tcBorders>
              <w:top w:val="single" w:sz="4" w:space="0" w:color="000000"/>
              <w:left w:val="single" w:sz="4" w:space="0" w:color="000000"/>
              <w:bottom w:val="single" w:sz="4" w:space="0" w:color="000000"/>
              <w:right w:val="single" w:sz="4" w:space="0" w:color="000000"/>
            </w:tcBorders>
            <w:shd w:val="clear" w:color="auto" w:fill="323E4F"/>
            <w:vAlign w:val="center"/>
            <w:hideMark/>
          </w:tcPr>
          <w:p w14:paraId="085DFC78" w14:textId="77777777" w:rsidR="009F2B88" w:rsidRPr="00B4554B" w:rsidRDefault="009F2B88" w:rsidP="00A616D0">
            <w:pPr>
              <w:adjustRightInd w:val="0"/>
              <w:jc w:val="center"/>
              <w:rPr>
                <w:rFonts w:asciiTheme="minorHAnsi" w:hAnsiTheme="minorHAnsi" w:cstheme="minorHAnsi"/>
                <w:b/>
                <w:color w:val="FFFFFF" w:themeColor="background1"/>
                <w:sz w:val="20"/>
                <w:szCs w:val="20"/>
                <w:highlight w:val="green"/>
              </w:rPr>
            </w:pPr>
            <w:r w:rsidRPr="00B4554B">
              <w:rPr>
                <w:rFonts w:asciiTheme="minorHAnsi" w:hAnsiTheme="minorHAnsi" w:cstheme="minorHAnsi"/>
                <w:b/>
                <w:color w:val="FFFFFF" w:themeColor="background1"/>
                <w:sz w:val="20"/>
                <w:szCs w:val="20"/>
                <w:highlight w:val="green"/>
              </w:rPr>
              <w:t>GRUPO</w:t>
            </w:r>
          </w:p>
        </w:tc>
        <w:tc>
          <w:tcPr>
            <w:tcW w:w="1918" w:type="dxa"/>
            <w:tcBorders>
              <w:top w:val="single" w:sz="4" w:space="0" w:color="000000"/>
              <w:left w:val="single" w:sz="4" w:space="0" w:color="000000"/>
              <w:bottom w:val="single" w:sz="4" w:space="0" w:color="000000"/>
              <w:right w:val="single" w:sz="4" w:space="0" w:color="000000"/>
            </w:tcBorders>
            <w:shd w:val="clear" w:color="auto" w:fill="323E4F"/>
            <w:vAlign w:val="center"/>
            <w:hideMark/>
          </w:tcPr>
          <w:p w14:paraId="18AB3527" w14:textId="77777777" w:rsidR="009F2B88" w:rsidRPr="00B4554B" w:rsidRDefault="009F2B88" w:rsidP="00A616D0">
            <w:pPr>
              <w:adjustRightInd w:val="0"/>
              <w:jc w:val="center"/>
              <w:rPr>
                <w:rFonts w:asciiTheme="minorHAnsi" w:hAnsiTheme="minorHAnsi" w:cstheme="minorHAnsi"/>
                <w:b/>
                <w:color w:val="FFFFFF" w:themeColor="background1"/>
                <w:sz w:val="20"/>
                <w:szCs w:val="20"/>
                <w:highlight w:val="green"/>
              </w:rPr>
            </w:pPr>
            <w:r w:rsidRPr="00B4554B">
              <w:rPr>
                <w:rFonts w:asciiTheme="minorHAnsi" w:hAnsiTheme="minorHAnsi" w:cstheme="minorHAnsi"/>
                <w:b/>
                <w:color w:val="FFFFFF" w:themeColor="background1"/>
                <w:sz w:val="20"/>
                <w:szCs w:val="20"/>
                <w:highlight w:val="green"/>
              </w:rPr>
              <w:t>SEGMENTOS</w:t>
            </w:r>
          </w:p>
        </w:tc>
        <w:tc>
          <w:tcPr>
            <w:tcW w:w="1742" w:type="dxa"/>
            <w:tcBorders>
              <w:top w:val="single" w:sz="4" w:space="0" w:color="000000"/>
              <w:left w:val="single" w:sz="4" w:space="0" w:color="000000"/>
              <w:bottom w:val="single" w:sz="4" w:space="0" w:color="000000"/>
              <w:right w:val="single" w:sz="4" w:space="0" w:color="000000"/>
            </w:tcBorders>
            <w:shd w:val="clear" w:color="auto" w:fill="323E4F"/>
            <w:vAlign w:val="center"/>
            <w:hideMark/>
          </w:tcPr>
          <w:p w14:paraId="7B22DD6D" w14:textId="77777777" w:rsidR="009F2B88" w:rsidRPr="00B4554B" w:rsidRDefault="009F2B88" w:rsidP="00A616D0">
            <w:pPr>
              <w:adjustRightInd w:val="0"/>
              <w:jc w:val="center"/>
              <w:rPr>
                <w:rFonts w:asciiTheme="minorHAnsi" w:hAnsiTheme="minorHAnsi" w:cstheme="minorHAnsi"/>
                <w:b/>
                <w:color w:val="FFFFFF" w:themeColor="background1"/>
                <w:sz w:val="20"/>
                <w:szCs w:val="20"/>
                <w:highlight w:val="green"/>
              </w:rPr>
            </w:pPr>
            <w:r w:rsidRPr="00B4554B">
              <w:rPr>
                <w:rFonts w:asciiTheme="minorHAnsi" w:hAnsiTheme="minorHAnsi" w:cstheme="minorHAnsi"/>
                <w:b/>
                <w:color w:val="FFFFFF" w:themeColor="background1"/>
                <w:sz w:val="20"/>
                <w:szCs w:val="20"/>
                <w:highlight w:val="green"/>
              </w:rPr>
              <w:t>FAMILIA</w:t>
            </w:r>
          </w:p>
        </w:tc>
        <w:tc>
          <w:tcPr>
            <w:tcW w:w="1846" w:type="dxa"/>
            <w:tcBorders>
              <w:top w:val="single" w:sz="4" w:space="0" w:color="000000"/>
              <w:left w:val="single" w:sz="4" w:space="0" w:color="000000"/>
              <w:bottom w:val="single" w:sz="4" w:space="0" w:color="000000"/>
              <w:right w:val="single" w:sz="4" w:space="0" w:color="000000"/>
            </w:tcBorders>
            <w:shd w:val="clear" w:color="auto" w:fill="323E4F"/>
            <w:vAlign w:val="center"/>
            <w:hideMark/>
          </w:tcPr>
          <w:p w14:paraId="03958AA6" w14:textId="77777777" w:rsidR="009F2B88" w:rsidRPr="00B4554B" w:rsidRDefault="009F2B88" w:rsidP="00A616D0">
            <w:pPr>
              <w:adjustRightInd w:val="0"/>
              <w:jc w:val="center"/>
              <w:rPr>
                <w:rFonts w:asciiTheme="minorHAnsi" w:hAnsiTheme="minorHAnsi" w:cstheme="minorHAnsi"/>
                <w:b/>
                <w:color w:val="FFFFFF" w:themeColor="background1"/>
                <w:sz w:val="20"/>
                <w:szCs w:val="20"/>
                <w:highlight w:val="green"/>
              </w:rPr>
            </w:pPr>
            <w:r w:rsidRPr="00B4554B">
              <w:rPr>
                <w:rFonts w:asciiTheme="minorHAnsi" w:hAnsiTheme="minorHAnsi" w:cstheme="minorHAnsi"/>
                <w:b/>
                <w:color w:val="FFFFFF" w:themeColor="background1"/>
                <w:sz w:val="20"/>
                <w:szCs w:val="20"/>
                <w:highlight w:val="green"/>
              </w:rPr>
              <w:t>CLASE</w:t>
            </w:r>
          </w:p>
        </w:tc>
      </w:tr>
      <w:tr w:rsidR="009F2B88" w:rsidRPr="00B4554B" w14:paraId="58C9867C" w14:textId="77777777" w:rsidTr="00A616D0">
        <w:trPr>
          <w:trHeight w:val="858"/>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870FFC"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84131500</w:t>
            </w:r>
          </w:p>
          <w:p w14:paraId="307D0AD8" w14:textId="77777777" w:rsidR="009F2B88" w:rsidRPr="00B4554B" w:rsidRDefault="009F2B88" w:rsidP="00A616D0">
            <w:pPr>
              <w:adjustRightInd w:val="0"/>
              <w:jc w:val="center"/>
              <w:rPr>
                <w:rFonts w:asciiTheme="minorHAnsi" w:hAnsiTheme="minorHAnsi" w:cstheme="minorHAnsi"/>
                <w:b/>
                <w:sz w:val="20"/>
                <w:szCs w:val="20"/>
                <w:highlight w:val="green"/>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15C135"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F</w:t>
            </w:r>
          </w:p>
          <w:p w14:paraId="05A1E5B3"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Servicios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F5B688"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 xml:space="preserve">84 </w:t>
            </w:r>
            <w:proofErr w:type="gramStart"/>
            <w:r w:rsidRPr="00B4554B">
              <w:rPr>
                <w:rFonts w:asciiTheme="minorHAnsi" w:hAnsiTheme="minorHAnsi" w:cstheme="minorHAnsi"/>
                <w:b/>
                <w:sz w:val="20"/>
                <w:szCs w:val="20"/>
                <w:highlight w:val="green"/>
              </w:rPr>
              <w:t>Servicios</w:t>
            </w:r>
            <w:proofErr w:type="gramEnd"/>
            <w:r w:rsidRPr="00B4554B">
              <w:rPr>
                <w:rFonts w:asciiTheme="minorHAnsi" w:hAnsiTheme="minorHAnsi" w:cstheme="minorHAnsi"/>
                <w:b/>
                <w:sz w:val="20"/>
                <w:szCs w:val="20"/>
                <w:highlight w:val="green"/>
              </w:rPr>
              <w:t xml:space="preserve"> Financieros y Seguros</w:t>
            </w:r>
          </w:p>
        </w:tc>
        <w:tc>
          <w:tcPr>
            <w:tcW w:w="17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684338"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 xml:space="preserve">13 </w:t>
            </w:r>
            <w:proofErr w:type="gramStart"/>
            <w:r w:rsidRPr="00B4554B">
              <w:rPr>
                <w:rFonts w:asciiTheme="minorHAnsi" w:hAnsiTheme="minorHAnsi" w:cstheme="minorHAnsi"/>
                <w:b/>
                <w:sz w:val="20"/>
                <w:szCs w:val="20"/>
                <w:highlight w:val="green"/>
              </w:rPr>
              <w:t>Servicios</w:t>
            </w:r>
            <w:proofErr w:type="gramEnd"/>
            <w:r w:rsidRPr="00B4554B">
              <w:rPr>
                <w:rFonts w:asciiTheme="minorHAnsi" w:hAnsiTheme="minorHAnsi" w:cstheme="minorHAnsi"/>
                <w:b/>
                <w:sz w:val="20"/>
                <w:szCs w:val="20"/>
                <w:highlight w:val="green"/>
              </w:rPr>
              <w:t xml:space="preserve"> de Seguros y Pensiones</w:t>
            </w:r>
          </w:p>
        </w:tc>
        <w:tc>
          <w:tcPr>
            <w:tcW w:w="184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E77D94"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15.Servicios de Seguros para estructuras y propiedades y posesiones</w:t>
            </w:r>
          </w:p>
        </w:tc>
      </w:tr>
      <w:tr w:rsidR="009F2B88" w:rsidRPr="00041902" w14:paraId="3BABE789" w14:textId="77777777" w:rsidTr="00A616D0">
        <w:trPr>
          <w:trHeight w:val="858"/>
          <w:jc w:val="center"/>
        </w:trPr>
        <w:tc>
          <w:tcPr>
            <w:tcW w:w="2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9164B"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84131600</w:t>
            </w:r>
          </w:p>
          <w:p w14:paraId="17190D85" w14:textId="77777777" w:rsidR="009F2B88" w:rsidRPr="00B4554B" w:rsidRDefault="009F2B88" w:rsidP="00A616D0">
            <w:pPr>
              <w:adjustRightInd w:val="0"/>
              <w:jc w:val="center"/>
              <w:rPr>
                <w:rFonts w:asciiTheme="minorHAnsi" w:hAnsiTheme="minorHAnsi" w:cstheme="minorHAnsi"/>
                <w:b/>
                <w:sz w:val="20"/>
                <w:szCs w:val="20"/>
                <w:highlight w:val="green"/>
              </w:rPr>
            </w:pPr>
          </w:p>
        </w:tc>
        <w:tc>
          <w:tcPr>
            <w:tcW w:w="15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86BBA"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F</w:t>
            </w:r>
          </w:p>
          <w:p w14:paraId="24B99231"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Servicios</w:t>
            </w:r>
          </w:p>
        </w:tc>
        <w:tc>
          <w:tcPr>
            <w:tcW w:w="1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A308C"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 xml:space="preserve">84 </w:t>
            </w:r>
            <w:proofErr w:type="gramStart"/>
            <w:r w:rsidRPr="00B4554B">
              <w:rPr>
                <w:rFonts w:asciiTheme="minorHAnsi" w:hAnsiTheme="minorHAnsi" w:cstheme="minorHAnsi"/>
                <w:b/>
                <w:sz w:val="20"/>
                <w:szCs w:val="20"/>
                <w:highlight w:val="green"/>
              </w:rPr>
              <w:t>Servicios</w:t>
            </w:r>
            <w:proofErr w:type="gramEnd"/>
            <w:r w:rsidRPr="00B4554B">
              <w:rPr>
                <w:rFonts w:asciiTheme="minorHAnsi" w:hAnsiTheme="minorHAnsi" w:cstheme="minorHAnsi"/>
                <w:b/>
                <w:sz w:val="20"/>
                <w:szCs w:val="20"/>
                <w:highlight w:val="green"/>
              </w:rPr>
              <w:t xml:space="preserve"> Financieros y Seguros</w:t>
            </w:r>
          </w:p>
        </w:tc>
        <w:tc>
          <w:tcPr>
            <w:tcW w:w="17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56764" w14:textId="77777777" w:rsidR="009F2B88" w:rsidRPr="00B4554B" w:rsidRDefault="009F2B88" w:rsidP="00A616D0">
            <w:pPr>
              <w:adjustRightInd w:val="0"/>
              <w:jc w:val="center"/>
              <w:rPr>
                <w:rFonts w:asciiTheme="minorHAnsi" w:hAnsiTheme="minorHAnsi" w:cstheme="minorHAnsi"/>
                <w:b/>
                <w:sz w:val="20"/>
                <w:szCs w:val="20"/>
                <w:highlight w:val="green"/>
              </w:rPr>
            </w:pPr>
            <w:r w:rsidRPr="00B4554B">
              <w:rPr>
                <w:rFonts w:asciiTheme="minorHAnsi" w:hAnsiTheme="minorHAnsi" w:cstheme="minorHAnsi"/>
                <w:b/>
                <w:sz w:val="20"/>
                <w:szCs w:val="20"/>
                <w:highlight w:val="green"/>
              </w:rPr>
              <w:t xml:space="preserve">13 </w:t>
            </w:r>
            <w:proofErr w:type="gramStart"/>
            <w:r w:rsidRPr="00B4554B">
              <w:rPr>
                <w:rFonts w:asciiTheme="minorHAnsi" w:hAnsiTheme="minorHAnsi" w:cstheme="minorHAnsi"/>
                <w:b/>
                <w:sz w:val="20"/>
                <w:szCs w:val="20"/>
                <w:highlight w:val="green"/>
              </w:rPr>
              <w:t>Servicios</w:t>
            </w:r>
            <w:proofErr w:type="gramEnd"/>
            <w:r w:rsidRPr="00B4554B">
              <w:rPr>
                <w:rFonts w:asciiTheme="minorHAnsi" w:hAnsiTheme="minorHAnsi" w:cstheme="minorHAnsi"/>
                <w:b/>
                <w:sz w:val="20"/>
                <w:szCs w:val="20"/>
                <w:highlight w:val="green"/>
              </w:rPr>
              <w:t xml:space="preserve"> de Seguros y Pensiones</w:t>
            </w:r>
          </w:p>
        </w:tc>
        <w:tc>
          <w:tcPr>
            <w:tcW w:w="18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C3CFA" w14:textId="77777777" w:rsidR="009F2B88" w:rsidRPr="00041902" w:rsidRDefault="009F2B88" w:rsidP="00A616D0">
            <w:pPr>
              <w:adjustRightInd w:val="0"/>
              <w:jc w:val="center"/>
              <w:rPr>
                <w:rFonts w:asciiTheme="minorHAnsi" w:hAnsiTheme="minorHAnsi" w:cstheme="minorHAnsi"/>
                <w:b/>
                <w:sz w:val="20"/>
                <w:szCs w:val="20"/>
              </w:rPr>
            </w:pPr>
            <w:r w:rsidRPr="00B4554B">
              <w:rPr>
                <w:rFonts w:asciiTheme="minorHAnsi" w:hAnsiTheme="minorHAnsi" w:cstheme="minorHAnsi"/>
                <w:b/>
                <w:sz w:val="20"/>
                <w:szCs w:val="20"/>
                <w:highlight w:val="green"/>
              </w:rPr>
              <w:t xml:space="preserve">16 </w:t>
            </w:r>
            <w:proofErr w:type="gramStart"/>
            <w:r w:rsidRPr="00B4554B">
              <w:rPr>
                <w:rFonts w:asciiTheme="minorHAnsi" w:hAnsiTheme="minorHAnsi" w:cstheme="minorHAnsi"/>
                <w:b/>
                <w:sz w:val="20"/>
                <w:szCs w:val="20"/>
                <w:highlight w:val="green"/>
              </w:rPr>
              <w:t>Seguros</w:t>
            </w:r>
            <w:proofErr w:type="gramEnd"/>
            <w:r w:rsidRPr="00B4554B">
              <w:rPr>
                <w:rFonts w:asciiTheme="minorHAnsi" w:hAnsiTheme="minorHAnsi" w:cstheme="minorHAnsi"/>
                <w:b/>
                <w:sz w:val="20"/>
                <w:szCs w:val="20"/>
                <w:highlight w:val="green"/>
              </w:rPr>
              <w:t xml:space="preserve"> de vida salud y accidentes</w:t>
            </w:r>
          </w:p>
        </w:tc>
      </w:tr>
    </w:tbl>
    <w:p w14:paraId="4CDE4CC2" w14:textId="77777777" w:rsidR="009F2B88" w:rsidRPr="00041902" w:rsidRDefault="009F2B88" w:rsidP="009F2B88">
      <w:pPr>
        <w:jc w:val="both"/>
        <w:rPr>
          <w:rFonts w:asciiTheme="minorHAnsi" w:hAnsiTheme="minorHAnsi" w:cstheme="minorHAnsi"/>
        </w:rPr>
      </w:pPr>
    </w:p>
    <w:p w14:paraId="07338E17" w14:textId="77777777" w:rsidR="009F2B88" w:rsidRPr="00041902" w:rsidRDefault="009F2B88" w:rsidP="009F2B88">
      <w:pPr>
        <w:widowControl/>
        <w:numPr>
          <w:ilvl w:val="1"/>
          <w:numId w:val="12"/>
        </w:numPr>
        <w:pBdr>
          <w:top w:val="nil"/>
          <w:left w:val="nil"/>
          <w:bottom w:val="nil"/>
          <w:right w:val="nil"/>
          <w:between w:val="nil"/>
        </w:pBdr>
        <w:autoSpaceDE/>
        <w:autoSpaceDN/>
        <w:spacing w:after="160" w:line="259" w:lineRule="auto"/>
        <w:jc w:val="both"/>
        <w:rPr>
          <w:rFonts w:asciiTheme="minorHAnsi" w:hAnsiTheme="minorHAnsi" w:cstheme="minorHAnsi"/>
          <w:b/>
          <w:color w:val="000000"/>
        </w:rPr>
      </w:pPr>
      <w:r w:rsidRPr="00041902">
        <w:rPr>
          <w:rFonts w:asciiTheme="minorHAnsi" w:hAnsiTheme="minorHAnsi" w:cstheme="minorHAnsi"/>
          <w:b/>
          <w:color w:val="000000"/>
        </w:rPr>
        <w:t xml:space="preserve"> IDENTIFICACIÓN DEL SECTOR  </w:t>
      </w:r>
    </w:p>
    <w:p w14:paraId="5FDEB323" w14:textId="77777777" w:rsidR="009F2B88" w:rsidRDefault="009F2B88" w:rsidP="009F2B88">
      <w:pPr>
        <w:jc w:val="both"/>
        <w:rPr>
          <w:rFonts w:asciiTheme="minorHAnsi" w:hAnsiTheme="minorHAnsi" w:cstheme="minorHAnsi"/>
          <w:b/>
        </w:rPr>
      </w:pPr>
      <w:r w:rsidRPr="00041902">
        <w:rPr>
          <w:rFonts w:asciiTheme="minorHAnsi" w:hAnsiTheme="minorHAnsi" w:cstheme="minorHAnsi"/>
          <w:b/>
        </w:rPr>
        <w:t xml:space="preserve">CORREDORES DE SEGUROS  </w:t>
      </w:r>
    </w:p>
    <w:p w14:paraId="5F2C10F6" w14:textId="77777777" w:rsidR="00116ADB" w:rsidRPr="00041902" w:rsidRDefault="00116ADB" w:rsidP="009F2B88">
      <w:pPr>
        <w:jc w:val="both"/>
        <w:rPr>
          <w:rFonts w:asciiTheme="minorHAnsi" w:hAnsiTheme="minorHAnsi" w:cstheme="minorHAnsi"/>
          <w:b/>
        </w:rPr>
      </w:pPr>
    </w:p>
    <w:p w14:paraId="7D8B3B0D" w14:textId="77777777" w:rsidR="009F2B88" w:rsidRDefault="009F2B88" w:rsidP="009F2B88">
      <w:pPr>
        <w:jc w:val="both"/>
        <w:rPr>
          <w:rFonts w:asciiTheme="minorHAnsi" w:hAnsiTheme="minorHAnsi" w:cstheme="minorHAnsi"/>
        </w:rPr>
      </w:pPr>
      <w:r w:rsidRPr="00041902">
        <w:rPr>
          <w:rFonts w:asciiTheme="minorHAnsi" w:hAnsiTheme="minorHAnsi" w:cstheme="minorHAnsi"/>
        </w:rPr>
        <w:t xml:space="preserve">Son empresas constituidas bajo la modalidad de sociedades anónimas, vigiladas por la Superintendencia Financiera de Colombia, que cuentan con exigencias mínimas de funcionamiento e infraestructura propia, dedicadas exclusivamente </w:t>
      </w:r>
      <w:r w:rsidRPr="00041902">
        <w:rPr>
          <w:rFonts w:asciiTheme="minorHAnsi" w:hAnsiTheme="minorHAnsi" w:cstheme="minorHAnsi"/>
        </w:rPr>
        <w:lastRenderedPageBreak/>
        <w:t>a ofrecer seguros, promover su celebración y obtener su renovación a título de intermediario de seguros. El corredor de seguros se caracteriza por su conocimiento especializado en las diversas prácticas empresariales y perfiles de clientes acorde con sus actividades cotidianas, buscando generar alternativas de mitigación de riesgos. Desde el punto de vista de responsabilidad civil profesional, el intermediario de seguros responde de manera directa a sus clientes, por lo</w:t>
      </w:r>
      <w:r>
        <w:rPr>
          <w:rFonts w:asciiTheme="minorHAnsi" w:hAnsiTheme="minorHAnsi" w:cstheme="minorHAnsi"/>
        </w:rPr>
        <w:t>s</w:t>
      </w:r>
      <w:r w:rsidRPr="00041902">
        <w:rPr>
          <w:rFonts w:asciiTheme="minorHAnsi" w:hAnsiTheme="minorHAnsi" w:cstheme="minorHAnsi"/>
        </w:rPr>
        <w:t xml:space="preserve"> errores y omisiones en que incurra, así como de manera administrativa a la Superintendencia Financiera de Colombia en razón al régimen que le aplica. Dada la infraestructura que ostentan los corredores de seguros, estos proveen asistencia a sus clientes en relación con la atención de siniestros, cuantificación de pérdidas, análisis de riesgos, inspección de riesgos, recaudo de primas entre otras actividades.  </w:t>
      </w:r>
    </w:p>
    <w:p w14:paraId="3F7AECD1" w14:textId="77777777" w:rsidR="003848F7" w:rsidRPr="00041902" w:rsidRDefault="003848F7" w:rsidP="009F2B88">
      <w:pPr>
        <w:jc w:val="both"/>
        <w:rPr>
          <w:rFonts w:asciiTheme="minorHAnsi" w:hAnsiTheme="minorHAnsi" w:cstheme="minorHAnsi"/>
        </w:rPr>
      </w:pPr>
    </w:p>
    <w:p w14:paraId="61654CCB" w14:textId="77777777" w:rsidR="009F2B88" w:rsidRDefault="009F2B88" w:rsidP="009F2B88">
      <w:pPr>
        <w:jc w:val="both"/>
        <w:rPr>
          <w:rFonts w:asciiTheme="minorHAnsi" w:hAnsiTheme="minorHAnsi" w:cstheme="minorHAnsi"/>
        </w:rPr>
      </w:pPr>
      <w:r w:rsidRPr="00041902">
        <w:rPr>
          <w:rFonts w:asciiTheme="minorHAnsi" w:hAnsiTheme="minorHAnsi" w:cstheme="minorHAnsi"/>
        </w:rPr>
        <w:t xml:space="preserve">Los bienes/servicios que la entidad pretende adquirir se encuentran debidamente identificados a través del clasificador de bienes y servicios y el sector al cual pertenecen, con los siguientes códigos:  </w:t>
      </w:r>
    </w:p>
    <w:p w14:paraId="7F9E5DAD" w14:textId="77777777" w:rsidR="003848F7" w:rsidRPr="00041902" w:rsidRDefault="003848F7" w:rsidP="009F2B88">
      <w:pPr>
        <w:jc w:val="both"/>
        <w:rPr>
          <w:rFonts w:asciiTheme="minorHAnsi" w:hAnsiTheme="minorHAnsi" w:cstheme="minorHAnsi"/>
        </w:rPr>
      </w:pPr>
    </w:p>
    <w:p w14:paraId="063FF751" w14:textId="77777777" w:rsidR="009F2B88" w:rsidRPr="00041902" w:rsidRDefault="009F2B88" w:rsidP="009F2B88">
      <w:pPr>
        <w:jc w:val="both"/>
        <w:rPr>
          <w:rFonts w:asciiTheme="minorHAnsi" w:hAnsiTheme="minorHAnsi" w:cstheme="minorHAnsi"/>
        </w:rPr>
      </w:pPr>
      <w:r w:rsidRPr="00041902">
        <w:rPr>
          <w:rFonts w:asciiTheme="minorHAnsi" w:hAnsiTheme="minorHAnsi" w:cstheme="minorHAnsi"/>
          <w:b/>
        </w:rPr>
        <w:t xml:space="preserve">“Sistema de Clasificación Industrial Internacional Uniforme” CIIU </w:t>
      </w:r>
      <w:r w:rsidRPr="00041902">
        <w:rPr>
          <w:rFonts w:asciiTheme="minorHAnsi" w:hAnsiTheme="minorHAnsi" w:cstheme="minorHAnsi"/>
        </w:rPr>
        <w:t>el cual debe coincidir con la información reportada en el Registro Único Tributario –RUT y en su matrícula en la Cámara de Comercio en cualquiera de las siguientes clasificaciones:</w:t>
      </w:r>
    </w:p>
    <w:tbl>
      <w:tblPr>
        <w:tblW w:w="4300" w:type="dxa"/>
        <w:jc w:val="center"/>
        <w:tblLayout w:type="fixed"/>
        <w:tblLook w:val="0400" w:firstRow="0" w:lastRow="0" w:firstColumn="0" w:lastColumn="0" w:noHBand="0" w:noVBand="1"/>
      </w:tblPr>
      <w:tblGrid>
        <w:gridCol w:w="1200"/>
        <w:gridCol w:w="3100"/>
      </w:tblGrid>
      <w:tr w:rsidR="009F2B88" w:rsidRPr="00041902" w14:paraId="10BEAE56" w14:textId="77777777" w:rsidTr="00A616D0">
        <w:trPr>
          <w:trHeight w:val="600"/>
          <w:jc w:val="center"/>
        </w:trPr>
        <w:tc>
          <w:tcPr>
            <w:tcW w:w="1200" w:type="dxa"/>
            <w:tcBorders>
              <w:top w:val="single" w:sz="4" w:space="0" w:color="000000"/>
              <w:left w:val="single" w:sz="4" w:space="0" w:color="000000"/>
              <w:bottom w:val="single" w:sz="4" w:space="0" w:color="000000"/>
              <w:right w:val="single" w:sz="4" w:space="0" w:color="000000"/>
            </w:tcBorders>
            <w:vAlign w:val="center"/>
          </w:tcPr>
          <w:p w14:paraId="5EFFA3A8" w14:textId="77777777" w:rsidR="009F2B88" w:rsidRPr="00041902" w:rsidRDefault="009F2B88" w:rsidP="00A616D0">
            <w:pPr>
              <w:jc w:val="center"/>
              <w:rPr>
                <w:rFonts w:asciiTheme="minorHAnsi" w:hAnsiTheme="minorHAnsi" w:cstheme="minorHAnsi"/>
                <w:color w:val="000000"/>
              </w:rPr>
            </w:pPr>
            <w:r w:rsidRPr="00041902">
              <w:rPr>
                <w:rFonts w:asciiTheme="minorHAnsi" w:hAnsiTheme="minorHAnsi" w:cstheme="minorHAnsi"/>
                <w:color w:val="000000"/>
              </w:rPr>
              <w:t xml:space="preserve">SECCIÓN </w:t>
            </w:r>
          </w:p>
        </w:tc>
        <w:tc>
          <w:tcPr>
            <w:tcW w:w="3100" w:type="dxa"/>
            <w:tcBorders>
              <w:top w:val="single" w:sz="4" w:space="0" w:color="000000"/>
              <w:left w:val="nil"/>
              <w:bottom w:val="single" w:sz="4" w:space="0" w:color="000000"/>
              <w:right w:val="single" w:sz="4" w:space="0" w:color="000000"/>
            </w:tcBorders>
            <w:vAlign w:val="center"/>
          </w:tcPr>
          <w:p w14:paraId="10365DF1" w14:textId="77777777" w:rsidR="009F2B88" w:rsidRPr="00041902" w:rsidRDefault="009F2B88" w:rsidP="00A616D0">
            <w:pPr>
              <w:jc w:val="center"/>
              <w:rPr>
                <w:rFonts w:asciiTheme="minorHAnsi" w:hAnsiTheme="minorHAnsi" w:cstheme="minorHAnsi"/>
                <w:color w:val="000000"/>
              </w:rPr>
            </w:pPr>
            <w:r w:rsidRPr="00041902">
              <w:rPr>
                <w:rFonts w:asciiTheme="minorHAnsi" w:hAnsiTheme="minorHAnsi" w:cstheme="minorHAnsi"/>
                <w:color w:val="000000"/>
              </w:rPr>
              <w:t xml:space="preserve">GRUPO </w:t>
            </w:r>
          </w:p>
        </w:tc>
      </w:tr>
      <w:tr w:rsidR="009F2B88" w:rsidRPr="00041902" w14:paraId="57C99CAF" w14:textId="77777777" w:rsidTr="00A616D0">
        <w:trPr>
          <w:trHeight w:val="600"/>
          <w:jc w:val="center"/>
        </w:trPr>
        <w:tc>
          <w:tcPr>
            <w:tcW w:w="1200" w:type="dxa"/>
            <w:tcBorders>
              <w:top w:val="nil"/>
              <w:left w:val="single" w:sz="4" w:space="0" w:color="000000"/>
              <w:bottom w:val="single" w:sz="4" w:space="0" w:color="000000"/>
              <w:right w:val="single" w:sz="4" w:space="0" w:color="000000"/>
            </w:tcBorders>
            <w:vAlign w:val="center"/>
          </w:tcPr>
          <w:p w14:paraId="7E32CD2A" w14:textId="77777777" w:rsidR="009F2B88" w:rsidRPr="00041902" w:rsidRDefault="009F2B88" w:rsidP="00A616D0">
            <w:pPr>
              <w:jc w:val="center"/>
              <w:rPr>
                <w:rFonts w:asciiTheme="minorHAnsi" w:hAnsiTheme="minorHAnsi" w:cstheme="minorHAnsi"/>
                <w:color w:val="000000"/>
              </w:rPr>
            </w:pPr>
            <w:r w:rsidRPr="00041902">
              <w:rPr>
                <w:rFonts w:asciiTheme="minorHAnsi" w:hAnsiTheme="minorHAnsi" w:cstheme="minorHAnsi"/>
                <w:color w:val="000000"/>
              </w:rPr>
              <w:t>K</w:t>
            </w:r>
          </w:p>
        </w:tc>
        <w:tc>
          <w:tcPr>
            <w:tcW w:w="3100" w:type="dxa"/>
            <w:tcBorders>
              <w:top w:val="nil"/>
              <w:left w:val="nil"/>
              <w:bottom w:val="single" w:sz="4" w:space="0" w:color="000000"/>
              <w:right w:val="single" w:sz="4" w:space="0" w:color="000000"/>
            </w:tcBorders>
            <w:vAlign w:val="center"/>
          </w:tcPr>
          <w:p w14:paraId="7DF5BFBC" w14:textId="77777777" w:rsidR="009F2B88" w:rsidRPr="00041902" w:rsidRDefault="009F2B88" w:rsidP="00A616D0">
            <w:pPr>
              <w:rPr>
                <w:rFonts w:asciiTheme="minorHAnsi" w:hAnsiTheme="minorHAnsi" w:cstheme="minorHAnsi"/>
                <w:color w:val="000000"/>
              </w:rPr>
            </w:pPr>
            <w:r w:rsidRPr="00041902">
              <w:rPr>
                <w:rFonts w:asciiTheme="minorHAnsi" w:hAnsiTheme="minorHAnsi" w:cstheme="minorHAnsi"/>
                <w:color w:val="000000"/>
              </w:rPr>
              <w:t>K6521 - Servicios de seguros sociales de salud</w:t>
            </w:r>
          </w:p>
        </w:tc>
      </w:tr>
      <w:tr w:rsidR="009F2B88" w:rsidRPr="00041902" w14:paraId="7E7696D3" w14:textId="77777777" w:rsidTr="00A616D0">
        <w:trPr>
          <w:trHeight w:val="600"/>
          <w:jc w:val="center"/>
        </w:trPr>
        <w:tc>
          <w:tcPr>
            <w:tcW w:w="1200" w:type="dxa"/>
            <w:tcBorders>
              <w:top w:val="nil"/>
              <w:left w:val="single" w:sz="4" w:space="0" w:color="000000"/>
              <w:bottom w:val="single" w:sz="4" w:space="0" w:color="000000"/>
              <w:right w:val="single" w:sz="4" w:space="0" w:color="000000"/>
            </w:tcBorders>
            <w:vAlign w:val="center"/>
          </w:tcPr>
          <w:p w14:paraId="6C8CDC7C" w14:textId="77777777" w:rsidR="009F2B88" w:rsidRPr="00041902" w:rsidRDefault="009F2B88" w:rsidP="00A616D0">
            <w:pPr>
              <w:jc w:val="center"/>
              <w:rPr>
                <w:rFonts w:asciiTheme="minorHAnsi" w:hAnsiTheme="minorHAnsi" w:cstheme="minorHAnsi"/>
                <w:color w:val="000000"/>
              </w:rPr>
            </w:pPr>
            <w:r w:rsidRPr="00041902">
              <w:rPr>
                <w:rFonts w:asciiTheme="minorHAnsi" w:hAnsiTheme="minorHAnsi" w:cstheme="minorHAnsi"/>
                <w:color w:val="000000"/>
              </w:rPr>
              <w:t>K</w:t>
            </w:r>
          </w:p>
        </w:tc>
        <w:tc>
          <w:tcPr>
            <w:tcW w:w="3100" w:type="dxa"/>
            <w:tcBorders>
              <w:top w:val="nil"/>
              <w:left w:val="nil"/>
              <w:bottom w:val="single" w:sz="4" w:space="0" w:color="000000"/>
              <w:right w:val="single" w:sz="4" w:space="0" w:color="000000"/>
            </w:tcBorders>
            <w:vAlign w:val="center"/>
          </w:tcPr>
          <w:p w14:paraId="72F36500" w14:textId="77777777" w:rsidR="009F2B88" w:rsidRPr="00041902" w:rsidRDefault="009F2B88" w:rsidP="00A616D0">
            <w:pPr>
              <w:rPr>
                <w:rFonts w:asciiTheme="minorHAnsi" w:hAnsiTheme="minorHAnsi" w:cstheme="minorHAnsi"/>
                <w:color w:val="000000"/>
              </w:rPr>
            </w:pPr>
            <w:r w:rsidRPr="00041902">
              <w:rPr>
                <w:rFonts w:asciiTheme="minorHAnsi" w:hAnsiTheme="minorHAnsi" w:cstheme="minorHAnsi"/>
                <w:color w:val="000000"/>
              </w:rPr>
              <w:t>K6621 - Actividades de agentes y corredores de seguros</w:t>
            </w:r>
          </w:p>
        </w:tc>
      </w:tr>
    </w:tbl>
    <w:p w14:paraId="26851729" w14:textId="77777777" w:rsidR="009F2B88" w:rsidRDefault="009F2B88" w:rsidP="009F2B88">
      <w:pPr>
        <w:tabs>
          <w:tab w:val="left" w:pos="360"/>
        </w:tabs>
        <w:ind w:right="88"/>
        <w:jc w:val="both"/>
        <w:rPr>
          <w:rFonts w:asciiTheme="minorHAnsi" w:hAnsiTheme="minorHAnsi" w:cstheme="minorHAnsi"/>
          <w:b/>
        </w:rPr>
      </w:pPr>
    </w:p>
    <w:p w14:paraId="0F54E6D1" w14:textId="77777777" w:rsidR="00116ADB" w:rsidRDefault="00116ADB" w:rsidP="009F2B88">
      <w:pPr>
        <w:tabs>
          <w:tab w:val="left" w:pos="360"/>
        </w:tabs>
        <w:ind w:right="88"/>
        <w:jc w:val="both"/>
        <w:rPr>
          <w:rFonts w:asciiTheme="minorHAnsi" w:hAnsiTheme="minorHAnsi" w:cstheme="minorHAnsi"/>
          <w:b/>
        </w:rPr>
      </w:pPr>
    </w:p>
    <w:p w14:paraId="54C482C9" w14:textId="77777777" w:rsidR="00116ADB" w:rsidRDefault="00116ADB" w:rsidP="009F2B88">
      <w:pPr>
        <w:tabs>
          <w:tab w:val="left" w:pos="360"/>
        </w:tabs>
        <w:ind w:right="88"/>
        <w:jc w:val="both"/>
        <w:rPr>
          <w:rFonts w:asciiTheme="minorHAnsi" w:hAnsiTheme="minorHAnsi" w:cstheme="minorHAnsi"/>
          <w:b/>
        </w:rPr>
      </w:pPr>
    </w:p>
    <w:p w14:paraId="7E396CEC" w14:textId="77777777" w:rsidR="00116ADB" w:rsidRDefault="00116ADB" w:rsidP="009F2B88">
      <w:pPr>
        <w:tabs>
          <w:tab w:val="left" w:pos="360"/>
        </w:tabs>
        <w:ind w:right="88"/>
        <w:jc w:val="both"/>
        <w:rPr>
          <w:rFonts w:asciiTheme="minorHAnsi" w:hAnsiTheme="minorHAnsi" w:cstheme="minorHAnsi"/>
          <w:b/>
        </w:rPr>
      </w:pPr>
    </w:p>
    <w:p w14:paraId="3CA1C686" w14:textId="77777777" w:rsidR="00116ADB" w:rsidRPr="00041902" w:rsidRDefault="00116ADB" w:rsidP="009F2B88">
      <w:pPr>
        <w:tabs>
          <w:tab w:val="left" w:pos="360"/>
        </w:tabs>
        <w:ind w:right="88"/>
        <w:jc w:val="both"/>
        <w:rPr>
          <w:rFonts w:asciiTheme="minorHAnsi" w:hAnsiTheme="minorHAnsi" w:cstheme="minorHAnsi"/>
          <w:b/>
        </w:rPr>
      </w:pPr>
    </w:p>
    <w:p w14:paraId="5AD65922" w14:textId="77777777" w:rsidR="009F2B88" w:rsidRPr="00041902" w:rsidRDefault="009F2B88" w:rsidP="009F2B88">
      <w:pPr>
        <w:pStyle w:val="Prrafodelista"/>
        <w:widowControl/>
        <w:numPr>
          <w:ilvl w:val="1"/>
          <w:numId w:val="12"/>
        </w:numPr>
        <w:tabs>
          <w:tab w:val="left" w:pos="360"/>
        </w:tabs>
        <w:autoSpaceDE/>
        <w:autoSpaceDN/>
        <w:ind w:right="88"/>
        <w:contextualSpacing/>
        <w:jc w:val="both"/>
        <w:rPr>
          <w:rFonts w:asciiTheme="minorHAnsi" w:hAnsiTheme="minorHAnsi" w:cstheme="minorHAnsi"/>
          <w:b/>
          <w:spacing w:val="-3"/>
        </w:rPr>
      </w:pPr>
      <w:r w:rsidRPr="00041902">
        <w:rPr>
          <w:rFonts w:asciiTheme="minorHAnsi" w:hAnsiTheme="minorHAnsi" w:cstheme="minorHAnsi"/>
          <w:b/>
          <w:spacing w:val="-3"/>
        </w:rPr>
        <w:t>CONTEXTO ECONÓMICO:</w:t>
      </w:r>
    </w:p>
    <w:p w14:paraId="6C265400" w14:textId="77777777" w:rsidR="009F2B88" w:rsidRPr="00041902" w:rsidRDefault="009F2B88" w:rsidP="009F2B88">
      <w:pPr>
        <w:adjustRightInd w:val="0"/>
        <w:jc w:val="both"/>
        <w:rPr>
          <w:rFonts w:asciiTheme="minorHAnsi" w:hAnsiTheme="minorHAnsi" w:cstheme="minorHAnsi"/>
          <w:b/>
        </w:rPr>
      </w:pPr>
    </w:p>
    <w:p w14:paraId="15717E5C" w14:textId="77777777" w:rsidR="009F2B88" w:rsidRPr="00E367C8" w:rsidRDefault="009F2B88" w:rsidP="009F2B88">
      <w:pPr>
        <w:jc w:val="both"/>
        <w:outlineLvl w:val="1"/>
        <w:rPr>
          <w:rFonts w:asciiTheme="minorHAnsi" w:hAnsiTheme="minorHAnsi" w:cstheme="minorHAnsi"/>
          <w:highlight w:val="green"/>
        </w:rPr>
      </w:pPr>
      <w:bookmarkStart w:id="0" w:name="_Toc41048542"/>
      <w:r w:rsidRPr="00E367C8">
        <w:rPr>
          <w:rFonts w:asciiTheme="minorHAnsi" w:hAnsiTheme="minorHAnsi" w:cstheme="minorHAnsi"/>
          <w:highlight w:val="green"/>
        </w:rPr>
        <w:t xml:space="preserve">Es importante señalar la inoperancia del aparte del estudio económico y señalar presupuesto asignado debido a que cuando las Entidades Estatales seleccionan intermediarios de seguros, es claro que, dicha contratación no genera la obligación para la entidad de realizar erogación alguna, toda vez que el intermediario de seguros percibe en contraprestación, las comisiones derivadas de su gestión efectiva en la contratación de las pólizas correspondientes al programa de seguros del ramo vida y personas, las cuales de acuerdo con la disposición consagrada en el artículo 1341 del Código de Comercio por regla general y salvo que excepcionalmente exista pacto expreso en contrario, la comisión del Intermediario estará a cargo de la aseguradora a contratar por la Corporación Gilberto Echeverri Mejía, considerando el comportamiento del mercado, la estructura técnica de la tarifa de seguros y el histórico de primas a cargo de la Entidad durante los últimos años y en atención a que el precio del seguro involucra el porcentaje de comisión a cargo del asegurador, la Corporación Gilberto Echeverri Mejía, no reconocerá ningún honorario, gasto, comisión o erogación al Intermediario de seguros por concepto de servicios prestados. </w:t>
      </w:r>
    </w:p>
    <w:p w14:paraId="32FE2B65" w14:textId="77777777" w:rsidR="003848F7" w:rsidRPr="00E367C8" w:rsidRDefault="003848F7" w:rsidP="009F2B88">
      <w:pPr>
        <w:jc w:val="both"/>
        <w:outlineLvl w:val="1"/>
        <w:rPr>
          <w:rFonts w:asciiTheme="minorHAnsi" w:hAnsiTheme="minorHAnsi" w:cstheme="minorHAnsi"/>
          <w:highlight w:val="green"/>
        </w:rPr>
      </w:pPr>
    </w:p>
    <w:p w14:paraId="3E095ABA" w14:textId="77777777" w:rsidR="009F2B88" w:rsidRPr="00E367C8" w:rsidRDefault="009F2B88" w:rsidP="009F2B88">
      <w:pPr>
        <w:jc w:val="both"/>
        <w:outlineLvl w:val="1"/>
        <w:rPr>
          <w:rFonts w:asciiTheme="minorHAnsi" w:hAnsiTheme="minorHAnsi" w:cstheme="minorHAnsi"/>
          <w:highlight w:val="green"/>
        </w:rPr>
      </w:pPr>
      <w:r w:rsidRPr="00E367C8">
        <w:rPr>
          <w:rFonts w:asciiTheme="minorHAnsi" w:hAnsiTheme="minorHAnsi" w:cstheme="minorHAnsi"/>
          <w:highlight w:val="green"/>
        </w:rPr>
        <w:t xml:space="preserve">Que por este motivo los participantes deben manifestar, bajo la gravedad del juramento, que aceptan que la única remuneración será la comisión que le reconozca la aseguradora, que resulte seleccionada en el proceso contractual que se surta para el programa de seguros y que renuncian a cualquier otro tipo de ingreso tal como comisión contingente, </w:t>
      </w:r>
      <w:r w:rsidRPr="00E367C8">
        <w:rPr>
          <w:rFonts w:asciiTheme="minorHAnsi" w:hAnsiTheme="minorHAnsi" w:cstheme="minorHAnsi"/>
          <w:highlight w:val="green"/>
        </w:rPr>
        <w:lastRenderedPageBreak/>
        <w:t>bonos por siniestralidad, o cualquier otro concepto que no sea la comisión negociada con el asegurador.</w:t>
      </w:r>
    </w:p>
    <w:p w14:paraId="3964F59B" w14:textId="77777777" w:rsidR="00B025AE" w:rsidRPr="00E367C8" w:rsidRDefault="00B025AE" w:rsidP="009F2B88">
      <w:pPr>
        <w:jc w:val="both"/>
        <w:outlineLvl w:val="1"/>
        <w:rPr>
          <w:rFonts w:asciiTheme="minorHAnsi" w:hAnsiTheme="minorHAnsi" w:cstheme="minorHAnsi"/>
          <w:highlight w:val="green"/>
        </w:rPr>
      </w:pPr>
    </w:p>
    <w:p w14:paraId="07EA5A1B" w14:textId="77777777" w:rsidR="009F2B88" w:rsidRPr="00E367C8" w:rsidRDefault="009F2B88" w:rsidP="009F2B88">
      <w:pPr>
        <w:outlineLvl w:val="1"/>
        <w:rPr>
          <w:rFonts w:asciiTheme="minorHAnsi" w:hAnsiTheme="minorHAnsi" w:cstheme="minorHAnsi"/>
          <w:b/>
          <w:highlight w:val="green"/>
        </w:rPr>
      </w:pPr>
      <w:r w:rsidRPr="00E367C8">
        <w:rPr>
          <w:rFonts w:asciiTheme="minorHAnsi" w:hAnsiTheme="minorHAnsi" w:cstheme="minorHAnsi"/>
          <w:b/>
          <w:highlight w:val="green"/>
        </w:rPr>
        <w:t>Estructura del Mercado Asegurado</w:t>
      </w:r>
      <w:bookmarkEnd w:id="0"/>
      <w:r w:rsidRPr="00E367C8">
        <w:rPr>
          <w:rFonts w:asciiTheme="minorHAnsi" w:hAnsiTheme="minorHAnsi" w:cstheme="minorHAnsi"/>
          <w:b/>
          <w:highlight w:val="green"/>
        </w:rPr>
        <w:t>r</w:t>
      </w:r>
    </w:p>
    <w:p w14:paraId="377EB6A4" w14:textId="77777777" w:rsidR="00B025AE" w:rsidRPr="00E367C8" w:rsidRDefault="00B025AE" w:rsidP="009F2B88">
      <w:pPr>
        <w:outlineLvl w:val="1"/>
        <w:rPr>
          <w:rFonts w:asciiTheme="minorHAnsi" w:hAnsiTheme="minorHAnsi" w:cstheme="minorHAnsi"/>
          <w:b/>
          <w:highlight w:val="green"/>
        </w:rPr>
      </w:pPr>
    </w:p>
    <w:p w14:paraId="448F6AB1" w14:textId="77777777" w:rsidR="009F2B88" w:rsidRPr="00E367C8" w:rsidRDefault="009F2B88" w:rsidP="009F2B88">
      <w:pPr>
        <w:jc w:val="both"/>
        <w:rPr>
          <w:rFonts w:asciiTheme="minorHAnsi" w:hAnsiTheme="minorHAnsi" w:cstheme="minorHAnsi"/>
          <w:highlight w:val="green"/>
        </w:rPr>
      </w:pPr>
      <w:r w:rsidRPr="00E367C8">
        <w:rPr>
          <w:rFonts w:asciiTheme="minorHAnsi" w:hAnsiTheme="minorHAnsi" w:cstheme="minorHAnsi"/>
          <w:highlight w:val="green"/>
        </w:rPr>
        <w:t>De acuerdo con FASECOLDA, con corte a noviembre de 2023, la estructura del mercado asegurador en Colombia es el siguiente; tomando como referencia las primas emitidas:</w:t>
      </w:r>
    </w:p>
    <w:p w14:paraId="6BD8BAE8" w14:textId="77777777" w:rsidR="00B025AE" w:rsidRPr="00E367C8" w:rsidRDefault="00B025AE" w:rsidP="009F2B88">
      <w:pPr>
        <w:jc w:val="both"/>
        <w:rPr>
          <w:rFonts w:asciiTheme="minorHAnsi" w:hAnsiTheme="minorHAnsi" w:cstheme="minorHAnsi"/>
          <w:highlight w:val="green"/>
        </w:rPr>
      </w:pPr>
    </w:p>
    <w:p w14:paraId="4CFCDA92" w14:textId="77777777" w:rsidR="009F2B88" w:rsidRPr="00E367C8" w:rsidRDefault="009F2B88" w:rsidP="009F2B88">
      <w:pPr>
        <w:jc w:val="center"/>
        <w:rPr>
          <w:rFonts w:asciiTheme="minorHAnsi" w:hAnsiTheme="minorHAnsi" w:cstheme="minorHAnsi"/>
          <w:highlight w:val="green"/>
        </w:rPr>
      </w:pPr>
      <w:r w:rsidRPr="00E367C8">
        <w:rPr>
          <w:rFonts w:asciiTheme="minorHAnsi" w:hAnsiTheme="minorHAnsi" w:cstheme="minorHAnsi"/>
          <w:noProof/>
          <w:highlight w:val="green"/>
          <w:lang w:val="en-US"/>
        </w:rPr>
        <w:drawing>
          <wp:inline distT="0" distB="0" distL="0" distR="0" wp14:anchorId="44971871" wp14:editId="050C04E6">
            <wp:extent cx="5066838" cy="2312026"/>
            <wp:effectExtent l="19050" t="19050" r="19685" b="12700"/>
            <wp:docPr id="205309290" name="Imagen 17"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9290" name="Imagen 17" descr="Interfaz de usuario gráfica,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0357" cy="2318195"/>
                    </a:xfrm>
                    <a:prstGeom prst="rect">
                      <a:avLst/>
                    </a:prstGeom>
                    <a:noFill/>
                    <a:ln>
                      <a:solidFill>
                        <a:schemeClr val="accent1"/>
                      </a:solidFill>
                    </a:ln>
                  </pic:spPr>
                </pic:pic>
              </a:graphicData>
            </a:graphic>
          </wp:inline>
        </w:drawing>
      </w:r>
    </w:p>
    <w:p w14:paraId="1B59FDD0" w14:textId="77777777" w:rsidR="009F2B88" w:rsidRPr="00E367C8" w:rsidRDefault="009F2B88" w:rsidP="009F2B88">
      <w:pPr>
        <w:widowControl/>
        <w:numPr>
          <w:ilvl w:val="0"/>
          <w:numId w:val="15"/>
        </w:numPr>
        <w:autoSpaceDE/>
        <w:autoSpaceDN/>
        <w:jc w:val="both"/>
        <w:rPr>
          <w:rFonts w:asciiTheme="minorHAnsi" w:hAnsiTheme="minorHAnsi" w:cstheme="minorHAnsi"/>
          <w:highlight w:val="green"/>
        </w:rPr>
      </w:pPr>
      <w:r w:rsidRPr="00E367C8">
        <w:rPr>
          <w:rFonts w:asciiTheme="minorHAnsi" w:hAnsiTheme="minorHAnsi" w:cstheme="minorHAnsi"/>
          <w:highlight w:val="green"/>
        </w:rPr>
        <w:t xml:space="preserve">Fuente: </w:t>
      </w:r>
      <w:hyperlink r:id="rId10" w:history="1">
        <w:r w:rsidRPr="00E367C8">
          <w:rPr>
            <w:rStyle w:val="Hipervnculo"/>
            <w:rFonts w:asciiTheme="minorHAnsi" w:hAnsiTheme="minorHAnsi" w:cstheme="minorHAnsi"/>
            <w:highlight w:val="green"/>
          </w:rPr>
          <w:t>https://www.fasecolda.com/fasecolda/estadisticas-del-sector/</w:t>
        </w:r>
      </w:hyperlink>
    </w:p>
    <w:p w14:paraId="666AE82E" w14:textId="77777777" w:rsidR="009F2B88" w:rsidRPr="00E367C8" w:rsidRDefault="009F2B88" w:rsidP="009F2B88">
      <w:pPr>
        <w:ind w:left="720"/>
        <w:jc w:val="both"/>
        <w:rPr>
          <w:rFonts w:asciiTheme="minorHAnsi" w:hAnsiTheme="minorHAnsi" w:cstheme="minorHAnsi"/>
          <w:highlight w:val="green"/>
        </w:rPr>
      </w:pPr>
    </w:p>
    <w:p w14:paraId="10BAB9C8" w14:textId="77777777" w:rsidR="00647E33" w:rsidRPr="00E367C8" w:rsidRDefault="00647E33" w:rsidP="009F2B88">
      <w:pPr>
        <w:pStyle w:val="Default"/>
        <w:jc w:val="both"/>
        <w:rPr>
          <w:rFonts w:asciiTheme="minorHAnsi" w:hAnsiTheme="minorHAnsi" w:cstheme="minorHAnsi"/>
          <w:sz w:val="22"/>
          <w:szCs w:val="22"/>
          <w:highlight w:val="green"/>
          <w:lang w:val="es-CO"/>
        </w:rPr>
      </w:pPr>
    </w:p>
    <w:p w14:paraId="2E5A21D3" w14:textId="408A325C" w:rsidR="009F2B88" w:rsidRPr="00E367C8" w:rsidRDefault="009F2B88" w:rsidP="009F2B88">
      <w:pPr>
        <w:pStyle w:val="Default"/>
        <w:jc w:val="both"/>
        <w:rPr>
          <w:rFonts w:asciiTheme="minorHAnsi" w:hAnsiTheme="minorHAnsi" w:cstheme="minorHAnsi"/>
          <w:sz w:val="22"/>
          <w:szCs w:val="22"/>
          <w:highlight w:val="green"/>
          <w:lang w:val="es-CO"/>
        </w:rPr>
      </w:pPr>
      <w:r w:rsidRPr="00E367C8">
        <w:rPr>
          <w:rFonts w:asciiTheme="minorHAnsi" w:hAnsiTheme="minorHAnsi" w:cstheme="minorHAnsi"/>
          <w:sz w:val="22"/>
          <w:szCs w:val="22"/>
          <w:highlight w:val="green"/>
          <w:lang w:val="es-CO"/>
        </w:rPr>
        <w:t>De acuerdo con FASECOLDA, al cierre de del año 2023, el mercado asegurador tuvo una producción de $45.37 billones, lo que representa un crecimiento del 33.91% con respecto a noviembre de 2022.</w:t>
      </w:r>
    </w:p>
    <w:p w14:paraId="52D071D2" w14:textId="77777777" w:rsidR="009F2B88" w:rsidRPr="00E367C8" w:rsidRDefault="009F2B88" w:rsidP="009F2B88">
      <w:pPr>
        <w:pStyle w:val="Default"/>
        <w:jc w:val="both"/>
        <w:rPr>
          <w:rFonts w:asciiTheme="minorHAnsi" w:hAnsiTheme="minorHAnsi" w:cstheme="minorHAnsi"/>
          <w:sz w:val="22"/>
          <w:szCs w:val="22"/>
          <w:highlight w:val="green"/>
          <w:lang w:val="es-CO"/>
        </w:rPr>
      </w:pPr>
    </w:p>
    <w:p w14:paraId="699076F6" w14:textId="77777777" w:rsidR="00B025AE" w:rsidRPr="00E367C8" w:rsidRDefault="00B025AE" w:rsidP="009F2B88">
      <w:pPr>
        <w:pStyle w:val="Default"/>
        <w:jc w:val="both"/>
        <w:rPr>
          <w:rFonts w:asciiTheme="minorHAnsi" w:hAnsiTheme="minorHAnsi" w:cstheme="minorHAnsi"/>
          <w:sz w:val="22"/>
          <w:szCs w:val="22"/>
          <w:highlight w:val="green"/>
          <w:lang w:val="es-CO"/>
        </w:rPr>
      </w:pPr>
    </w:p>
    <w:p w14:paraId="21AB5AC9" w14:textId="77777777" w:rsidR="009F2B88" w:rsidRPr="00E367C8" w:rsidRDefault="009F2B88" w:rsidP="009F2B88">
      <w:pPr>
        <w:jc w:val="both"/>
        <w:rPr>
          <w:rFonts w:asciiTheme="minorHAnsi" w:hAnsiTheme="minorHAnsi" w:cstheme="minorHAnsi"/>
          <w:b/>
          <w:highlight w:val="green"/>
        </w:rPr>
      </w:pPr>
      <w:r w:rsidRPr="00E367C8">
        <w:rPr>
          <w:rFonts w:asciiTheme="minorHAnsi" w:hAnsiTheme="minorHAnsi" w:cstheme="minorHAnsi"/>
          <w:b/>
          <w:highlight w:val="green"/>
        </w:rPr>
        <w:tab/>
      </w:r>
      <w:r w:rsidRPr="00E367C8">
        <w:rPr>
          <w:rFonts w:asciiTheme="minorHAnsi" w:hAnsiTheme="minorHAnsi" w:cstheme="minorHAnsi"/>
          <w:b/>
          <w:highlight w:val="green"/>
        </w:rPr>
        <w:tab/>
      </w:r>
      <w:r w:rsidRPr="00E367C8">
        <w:rPr>
          <w:rFonts w:asciiTheme="minorHAnsi" w:hAnsiTheme="minorHAnsi" w:cstheme="minorHAnsi"/>
          <w:noProof/>
          <w:highlight w:val="green"/>
          <w:lang w:val="en-US"/>
        </w:rPr>
        <w:drawing>
          <wp:inline distT="0" distB="0" distL="0" distR="0" wp14:anchorId="2EAEAC26" wp14:editId="7E0F0731">
            <wp:extent cx="2958327" cy="1990725"/>
            <wp:effectExtent l="19050" t="19050" r="13970" b="9525"/>
            <wp:docPr id="1095427306" name="Imagen 16"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27306" name="Imagen 16" descr="Gráfico, Gráfico circula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5905" cy="2002554"/>
                    </a:xfrm>
                    <a:prstGeom prst="rect">
                      <a:avLst/>
                    </a:prstGeom>
                    <a:noFill/>
                    <a:ln>
                      <a:solidFill>
                        <a:schemeClr val="accent1"/>
                      </a:solidFill>
                    </a:ln>
                  </pic:spPr>
                </pic:pic>
              </a:graphicData>
            </a:graphic>
          </wp:inline>
        </w:drawing>
      </w:r>
    </w:p>
    <w:p w14:paraId="45C68E29" w14:textId="77777777" w:rsidR="009F2B88" w:rsidRPr="00E367C8" w:rsidRDefault="009F2B88" w:rsidP="009F2B88">
      <w:pPr>
        <w:pStyle w:val="Default"/>
        <w:rPr>
          <w:rFonts w:asciiTheme="minorHAnsi" w:hAnsiTheme="minorHAnsi" w:cstheme="minorHAnsi"/>
          <w:sz w:val="22"/>
          <w:szCs w:val="22"/>
          <w:highlight w:val="green"/>
        </w:rPr>
      </w:pPr>
    </w:p>
    <w:p w14:paraId="6D489D20" w14:textId="77777777" w:rsidR="009F2B88" w:rsidRPr="00E367C8" w:rsidRDefault="009F2B88" w:rsidP="009F2B88">
      <w:pPr>
        <w:pStyle w:val="Default"/>
        <w:jc w:val="both"/>
        <w:rPr>
          <w:rFonts w:asciiTheme="minorHAnsi" w:hAnsiTheme="minorHAnsi" w:cstheme="minorHAnsi"/>
          <w:sz w:val="22"/>
          <w:szCs w:val="22"/>
          <w:highlight w:val="green"/>
          <w:lang w:val="es-CO"/>
        </w:rPr>
      </w:pPr>
      <w:r w:rsidRPr="00E367C8">
        <w:rPr>
          <w:rFonts w:asciiTheme="minorHAnsi" w:hAnsiTheme="minorHAnsi" w:cstheme="minorHAnsi"/>
          <w:sz w:val="22"/>
          <w:szCs w:val="22"/>
          <w:highlight w:val="green"/>
          <w:lang w:val="es-CO"/>
        </w:rPr>
        <w:t>Para el mes de diciembre de 2023 los ramos de daños tuvieron un crecimiento del 14.32% con una producción de $19.72 billones, siendo este grupo el de mayor aporte al crecimiento total de la industria (43.47%).</w:t>
      </w:r>
    </w:p>
    <w:p w14:paraId="16FA35FF" w14:textId="77777777" w:rsidR="00B025AE" w:rsidRPr="00E367C8" w:rsidRDefault="00B025AE" w:rsidP="009F2B88">
      <w:pPr>
        <w:pStyle w:val="Default"/>
        <w:jc w:val="both"/>
        <w:rPr>
          <w:rFonts w:asciiTheme="minorHAnsi" w:hAnsiTheme="minorHAnsi" w:cstheme="minorHAnsi"/>
          <w:sz w:val="22"/>
          <w:szCs w:val="22"/>
          <w:highlight w:val="green"/>
          <w:lang w:val="es-CO"/>
        </w:rPr>
      </w:pPr>
    </w:p>
    <w:p w14:paraId="15C0B37D" w14:textId="77777777" w:rsidR="009F2B88" w:rsidRPr="00E367C8" w:rsidRDefault="009F2B88" w:rsidP="009F2B88">
      <w:pPr>
        <w:jc w:val="center"/>
        <w:rPr>
          <w:rFonts w:asciiTheme="minorHAnsi" w:hAnsiTheme="minorHAnsi" w:cstheme="minorHAnsi"/>
          <w:b/>
          <w:highlight w:val="green"/>
        </w:rPr>
      </w:pPr>
      <w:r w:rsidRPr="00E367C8">
        <w:rPr>
          <w:rFonts w:asciiTheme="minorHAnsi" w:hAnsiTheme="minorHAnsi" w:cstheme="minorHAnsi"/>
          <w:noProof/>
          <w:highlight w:val="green"/>
          <w:lang w:val="en-US"/>
        </w:rPr>
        <w:lastRenderedPageBreak/>
        <w:drawing>
          <wp:inline distT="0" distB="0" distL="0" distR="0" wp14:anchorId="2193D764" wp14:editId="3FBAE315">
            <wp:extent cx="5139804" cy="3478313"/>
            <wp:effectExtent l="19050" t="19050" r="22860" b="27305"/>
            <wp:docPr id="957895454" name="Imagen 15"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95454" name="Imagen 15" descr="Gráfico, Gráfico circular&#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1414" cy="3486170"/>
                    </a:xfrm>
                    <a:prstGeom prst="rect">
                      <a:avLst/>
                    </a:prstGeom>
                    <a:noFill/>
                    <a:ln>
                      <a:solidFill>
                        <a:schemeClr val="accent1"/>
                      </a:solidFill>
                    </a:ln>
                  </pic:spPr>
                </pic:pic>
              </a:graphicData>
            </a:graphic>
          </wp:inline>
        </w:drawing>
      </w:r>
    </w:p>
    <w:p w14:paraId="1CB27464" w14:textId="77777777" w:rsidR="009F2B88" w:rsidRPr="00E367C8" w:rsidRDefault="009F2B88" w:rsidP="009F2B88">
      <w:pPr>
        <w:jc w:val="both"/>
        <w:rPr>
          <w:rFonts w:asciiTheme="minorHAnsi" w:hAnsiTheme="minorHAnsi" w:cstheme="minorHAnsi"/>
          <w:highlight w:val="green"/>
          <w:shd w:val="clear" w:color="auto" w:fill="FFFFFF"/>
        </w:rPr>
      </w:pPr>
      <w:r w:rsidRPr="00E367C8">
        <w:rPr>
          <w:rFonts w:asciiTheme="minorHAnsi" w:hAnsiTheme="minorHAnsi" w:cstheme="minorHAnsi"/>
          <w:highlight w:val="green"/>
          <w:shd w:val="clear" w:color="auto" w:fill="FFFFFF"/>
        </w:rPr>
        <w:t xml:space="preserve">Fuente: </w:t>
      </w:r>
      <w:hyperlink r:id="rId13" w:history="1">
        <w:r w:rsidRPr="00E367C8">
          <w:rPr>
            <w:rStyle w:val="Hipervnculo"/>
            <w:rFonts w:asciiTheme="minorHAnsi" w:hAnsiTheme="minorHAnsi" w:cstheme="minorHAnsi"/>
            <w:highlight w:val="green"/>
            <w:shd w:val="clear" w:color="auto" w:fill="FFFFFF"/>
          </w:rPr>
          <w:t>https://www.fasecolda.com/fasecolda/estadisticas-del-sector/estadisticas-por-ramo/</w:t>
        </w:r>
      </w:hyperlink>
    </w:p>
    <w:p w14:paraId="593730D6" w14:textId="77777777" w:rsidR="00B025AE" w:rsidRPr="00E367C8" w:rsidRDefault="00B025AE" w:rsidP="009F2B88">
      <w:pPr>
        <w:jc w:val="both"/>
        <w:rPr>
          <w:rFonts w:asciiTheme="minorHAnsi" w:hAnsiTheme="minorHAnsi" w:cstheme="minorHAnsi"/>
          <w:highlight w:val="green"/>
          <w:shd w:val="clear" w:color="auto" w:fill="FFFFFF"/>
        </w:rPr>
      </w:pPr>
    </w:p>
    <w:p w14:paraId="3E286ECD" w14:textId="77777777" w:rsidR="00B025AE" w:rsidRPr="00E367C8" w:rsidRDefault="00B025AE" w:rsidP="009F2B88">
      <w:pPr>
        <w:jc w:val="both"/>
        <w:rPr>
          <w:rFonts w:asciiTheme="minorHAnsi" w:hAnsiTheme="minorHAnsi" w:cstheme="minorHAnsi"/>
          <w:highlight w:val="green"/>
          <w:shd w:val="clear" w:color="auto" w:fill="FFFFFF"/>
        </w:rPr>
      </w:pPr>
    </w:p>
    <w:p w14:paraId="0527D9BA" w14:textId="063519B8" w:rsidR="009F2B88" w:rsidRPr="00E367C8" w:rsidRDefault="009F2B88" w:rsidP="009F2B88">
      <w:pPr>
        <w:jc w:val="both"/>
        <w:rPr>
          <w:rFonts w:asciiTheme="minorHAnsi" w:hAnsiTheme="minorHAnsi" w:cstheme="minorHAnsi"/>
          <w:highlight w:val="green"/>
          <w:shd w:val="clear" w:color="auto" w:fill="FFFFFF"/>
        </w:rPr>
      </w:pPr>
      <w:r w:rsidRPr="00E367C8">
        <w:rPr>
          <w:rFonts w:asciiTheme="minorHAnsi" w:hAnsiTheme="minorHAnsi" w:cstheme="minorHAnsi"/>
          <w:highlight w:val="green"/>
          <w:shd w:val="clear" w:color="auto" w:fill="FFFFFF"/>
        </w:rPr>
        <w:t>Vida grupo y colectivo: La cartera de créditos de consumo y vivienda se ha incrementado en un 4,5% hasta el mes de agosto, según datos de la SFC, este factor y el aumento de   las   tarifas, como   consecuencia   de   la   alta   siniestralidad ocasionada por la covid-19, llevaron a que la producción de estos ramos creciera un 11,5%.</w:t>
      </w:r>
    </w:p>
    <w:p w14:paraId="2AA155D5" w14:textId="77777777" w:rsidR="00B025AE" w:rsidRPr="00E367C8" w:rsidRDefault="00B025AE" w:rsidP="009F2B88">
      <w:pPr>
        <w:jc w:val="both"/>
        <w:rPr>
          <w:rFonts w:asciiTheme="minorHAnsi" w:hAnsiTheme="minorHAnsi" w:cstheme="minorHAnsi"/>
          <w:noProof/>
          <w:highlight w:val="green"/>
        </w:rPr>
      </w:pPr>
    </w:p>
    <w:p w14:paraId="64D86D4A" w14:textId="77777777" w:rsidR="009F2B88" w:rsidRPr="00E367C8" w:rsidRDefault="009F2B88" w:rsidP="009F2B88">
      <w:pPr>
        <w:jc w:val="center"/>
        <w:rPr>
          <w:rFonts w:asciiTheme="minorHAnsi" w:hAnsiTheme="minorHAnsi" w:cstheme="minorHAnsi"/>
          <w:noProof/>
          <w:highlight w:val="green"/>
        </w:rPr>
      </w:pPr>
      <w:r w:rsidRPr="00E367C8">
        <w:rPr>
          <w:rFonts w:asciiTheme="minorHAnsi" w:hAnsiTheme="minorHAnsi" w:cstheme="minorHAnsi"/>
          <w:noProof/>
          <w:highlight w:val="green"/>
          <w:lang w:val="en-US"/>
        </w:rPr>
        <w:drawing>
          <wp:inline distT="0" distB="0" distL="0" distR="0" wp14:anchorId="7FA6689A" wp14:editId="2E07E331">
            <wp:extent cx="5400040" cy="2574290"/>
            <wp:effectExtent l="19050" t="19050" r="10160" b="16510"/>
            <wp:docPr id="1468051860" name="Imagen 14"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51860" name="Imagen 14" descr="Gráfico, Gráfico circular&#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574290"/>
                    </a:xfrm>
                    <a:prstGeom prst="rect">
                      <a:avLst/>
                    </a:prstGeom>
                    <a:noFill/>
                    <a:ln>
                      <a:solidFill>
                        <a:schemeClr val="accent1"/>
                      </a:solidFill>
                    </a:ln>
                  </pic:spPr>
                </pic:pic>
              </a:graphicData>
            </a:graphic>
          </wp:inline>
        </w:drawing>
      </w:r>
    </w:p>
    <w:p w14:paraId="5DE59CFA" w14:textId="0A6688ED" w:rsidR="009F2B88" w:rsidRPr="00E367C8" w:rsidRDefault="009F2B88" w:rsidP="009F2B88">
      <w:pPr>
        <w:jc w:val="both"/>
        <w:rPr>
          <w:rFonts w:asciiTheme="minorHAnsi" w:hAnsiTheme="minorHAnsi" w:cstheme="minorHAnsi"/>
          <w:bCs/>
          <w:highlight w:val="green"/>
        </w:rPr>
      </w:pPr>
      <w:r w:rsidRPr="00E367C8">
        <w:rPr>
          <w:rFonts w:asciiTheme="minorHAnsi" w:hAnsiTheme="minorHAnsi" w:cstheme="minorHAnsi"/>
          <w:bCs/>
          <w:highlight w:val="green"/>
        </w:rPr>
        <w:t xml:space="preserve">Fuente: </w:t>
      </w:r>
      <w:hyperlink r:id="rId15" w:history="1">
        <w:r w:rsidRPr="00E367C8">
          <w:rPr>
            <w:rStyle w:val="Hipervnculo"/>
            <w:rFonts w:asciiTheme="minorHAnsi" w:hAnsiTheme="minorHAnsi" w:cstheme="minorHAnsi"/>
            <w:bCs/>
            <w:highlight w:val="green"/>
          </w:rPr>
          <w:t>https://fasecolda.com/fasecolda/estadisticas-del-sector/visualizador-inteligente-de-cifras/</w:t>
        </w:r>
      </w:hyperlink>
      <w:r w:rsidRPr="00E367C8">
        <w:rPr>
          <w:rFonts w:asciiTheme="minorHAnsi" w:hAnsiTheme="minorHAnsi" w:cstheme="minorHAnsi"/>
          <w:bCs/>
          <w:highlight w:val="green"/>
        </w:rPr>
        <w:t xml:space="preserve"> </w:t>
      </w:r>
    </w:p>
    <w:p w14:paraId="7E57A64C" w14:textId="77777777" w:rsidR="00B025AE" w:rsidRPr="00E367C8" w:rsidRDefault="00B025AE" w:rsidP="009F2B88">
      <w:pPr>
        <w:jc w:val="both"/>
        <w:rPr>
          <w:rFonts w:asciiTheme="minorHAnsi" w:hAnsiTheme="minorHAnsi" w:cstheme="minorHAnsi"/>
          <w:bCs/>
          <w:highlight w:val="green"/>
        </w:rPr>
      </w:pPr>
    </w:p>
    <w:p w14:paraId="54024B58" w14:textId="77777777" w:rsidR="00B025AE" w:rsidRPr="00E367C8" w:rsidRDefault="00B025AE" w:rsidP="009F2B88">
      <w:pPr>
        <w:jc w:val="both"/>
        <w:rPr>
          <w:rFonts w:asciiTheme="minorHAnsi" w:hAnsiTheme="minorHAnsi" w:cstheme="minorHAnsi"/>
          <w:bCs/>
          <w:highlight w:val="green"/>
        </w:rPr>
      </w:pPr>
    </w:p>
    <w:p w14:paraId="4CC40EA4" w14:textId="77777777" w:rsidR="009F2B88" w:rsidRPr="00E367C8" w:rsidRDefault="009F2B88" w:rsidP="009F2B88">
      <w:pPr>
        <w:jc w:val="center"/>
        <w:rPr>
          <w:rFonts w:asciiTheme="minorHAnsi" w:hAnsiTheme="minorHAnsi" w:cstheme="minorHAnsi"/>
          <w:b/>
          <w:highlight w:val="green"/>
        </w:rPr>
      </w:pPr>
      <w:r w:rsidRPr="00E367C8">
        <w:rPr>
          <w:rFonts w:asciiTheme="minorHAnsi" w:hAnsiTheme="minorHAnsi" w:cstheme="minorHAnsi"/>
          <w:b/>
          <w:noProof/>
          <w:highlight w:val="green"/>
          <w:lang w:val="en-US"/>
        </w:rPr>
        <w:drawing>
          <wp:inline distT="0" distB="0" distL="0" distR="0" wp14:anchorId="7FA3A364" wp14:editId="43C0364E">
            <wp:extent cx="5465322" cy="3209527"/>
            <wp:effectExtent l="19050" t="19050" r="21590" b="10160"/>
            <wp:docPr id="172880264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7100" cy="3228189"/>
                    </a:xfrm>
                    <a:prstGeom prst="rect">
                      <a:avLst/>
                    </a:prstGeom>
                    <a:noFill/>
                    <a:ln>
                      <a:solidFill>
                        <a:schemeClr val="accent1"/>
                      </a:solidFill>
                    </a:ln>
                  </pic:spPr>
                </pic:pic>
              </a:graphicData>
            </a:graphic>
          </wp:inline>
        </w:drawing>
      </w:r>
    </w:p>
    <w:p w14:paraId="47F431F5" w14:textId="77777777" w:rsidR="00B025AE" w:rsidRPr="00E367C8" w:rsidRDefault="00B025AE" w:rsidP="009F2B88">
      <w:pPr>
        <w:pStyle w:val="mt-3"/>
        <w:spacing w:before="240" w:beforeAutospacing="0" w:after="240" w:afterAutospacing="0"/>
        <w:rPr>
          <w:rFonts w:asciiTheme="minorHAnsi" w:hAnsiTheme="minorHAnsi" w:cstheme="minorHAnsi"/>
          <w:noProof/>
          <w:color w:val="333333"/>
          <w:sz w:val="22"/>
          <w:szCs w:val="22"/>
          <w:highlight w:val="green"/>
          <w:lang w:val="en-US" w:eastAsia="en-US"/>
        </w:rPr>
      </w:pPr>
    </w:p>
    <w:p w14:paraId="18729208" w14:textId="773BB0A2" w:rsidR="009F2B88" w:rsidRPr="00E367C8" w:rsidRDefault="009F2B88" w:rsidP="009F2B88">
      <w:pPr>
        <w:pStyle w:val="mt-3"/>
        <w:spacing w:before="240" w:beforeAutospacing="0" w:after="240" w:afterAutospacing="0"/>
        <w:rPr>
          <w:rFonts w:asciiTheme="minorHAnsi" w:hAnsiTheme="minorHAnsi" w:cstheme="minorHAnsi"/>
          <w:color w:val="333333"/>
          <w:sz w:val="22"/>
          <w:szCs w:val="22"/>
          <w:highlight w:val="green"/>
        </w:rPr>
      </w:pPr>
      <w:r w:rsidRPr="00E367C8">
        <w:rPr>
          <w:rFonts w:asciiTheme="minorHAnsi" w:hAnsiTheme="minorHAnsi" w:cstheme="minorHAnsi"/>
          <w:noProof/>
          <w:color w:val="333333"/>
          <w:sz w:val="22"/>
          <w:szCs w:val="22"/>
          <w:highlight w:val="green"/>
          <w:lang w:val="en-US" w:eastAsia="en-US"/>
        </w:rPr>
        <w:lastRenderedPageBreak/>
        <w:drawing>
          <wp:inline distT="0" distB="0" distL="0" distR="0" wp14:anchorId="3FF0154B" wp14:editId="786DB89B">
            <wp:extent cx="5514511" cy="3862020"/>
            <wp:effectExtent l="19050" t="19050" r="10160" b="24765"/>
            <wp:docPr id="239132098" name="Imagen 1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132098" name="Imagen 12" descr="Gráf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222" cy="3874424"/>
                    </a:xfrm>
                    <a:prstGeom prst="rect">
                      <a:avLst/>
                    </a:prstGeom>
                    <a:noFill/>
                    <a:ln>
                      <a:solidFill>
                        <a:schemeClr val="accent1"/>
                      </a:solidFill>
                    </a:ln>
                  </pic:spPr>
                </pic:pic>
              </a:graphicData>
            </a:graphic>
          </wp:inline>
        </w:drawing>
      </w:r>
    </w:p>
    <w:p w14:paraId="2FF9DC2C" w14:textId="77777777" w:rsidR="00B025AE" w:rsidRPr="00E367C8" w:rsidRDefault="00B025AE" w:rsidP="009F2B88">
      <w:pPr>
        <w:pStyle w:val="mt-3"/>
        <w:spacing w:before="240" w:beforeAutospacing="0" w:after="240" w:afterAutospacing="0"/>
        <w:rPr>
          <w:rFonts w:asciiTheme="minorHAnsi" w:hAnsiTheme="minorHAnsi" w:cstheme="minorHAnsi"/>
          <w:color w:val="333333"/>
          <w:sz w:val="22"/>
          <w:szCs w:val="22"/>
          <w:highlight w:val="green"/>
        </w:rPr>
      </w:pPr>
    </w:p>
    <w:p w14:paraId="7E58F852" w14:textId="77777777" w:rsidR="009F2B88" w:rsidRPr="00E367C8" w:rsidRDefault="009F2B88" w:rsidP="009F2B88">
      <w:pPr>
        <w:pStyle w:val="mt-3"/>
        <w:spacing w:before="240" w:beforeAutospacing="0" w:after="240" w:afterAutospacing="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Este boletín técnico tiene como propósito presentar los principales cambios de corto plazo del Producto Interno Bruto (PIB). Estas cifras son utilizadas ampliamente por analistas, políticos, prensa, la comunidad empresarial y el público en general, para la toma de decisiones.</w:t>
      </w:r>
    </w:p>
    <w:p w14:paraId="363B6391" w14:textId="77777777" w:rsidR="009F2B88" w:rsidRPr="00E367C8" w:rsidRDefault="009F2B88" w:rsidP="009F2B88">
      <w:pPr>
        <w:pStyle w:val="mt-3"/>
        <w:spacing w:before="240" w:after="24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En el tercer trimestre de 2023pr, el Producto Interno Bruto en su serie original, decrece 0,3% respecto al mismo periodo de 2022pr. Las actividades económicas que más contribuyen a la dinámica del valor agregado son: Industrias manufactureras decrece 6,2% (contribuye -0,8 puntos porcentuales a la variación anual). </w:t>
      </w:r>
    </w:p>
    <w:p w14:paraId="1F677C3B" w14:textId="77777777" w:rsidR="009F2B88" w:rsidRPr="00E367C8" w:rsidRDefault="009F2B88" w:rsidP="009F2B88">
      <w:pPr>
        <w:pStyle w:val="mt-3"/>
        <w:spacing w:before="240" w:after="24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Por subsector institucional, el excedente bruto de explotación de los auxiliares financieros es el que tiene mayor influencia en el resultado del EBE total del sector, al pasar de $0,3 billones en el tercer trimestre de 2022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a $0,9 billones en el tercer trimestre de 2023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En menor medida, contribuye positivamente el EBE de las sociedades de seguros, con una variación de 2,9%.</w:t>
      </w:r>
    </w:p>
    <w:p w14:paraId="1A34BDFC" w14:textId="77777777" w:rsidR="00B025AE" w:rsidRPr="00E367C8" w:rsidRDefault="00B025AE" w:rsidP="009F2B88">
      <w:pPr>
        <w:pStyle w:val="mt-3"/>
        <w:spacing w:before="240" w:after="240"/>
        <w:jc w:val="both"/>
        <w:rPr>
          <w:rFonts w:asciiTheme="minorHAnsi" w:hAnsiTheme="minorHAnsi" w:cstheme="minorHAnsi"/>
          <w:sz w:val="22"/>
          <w:szCs w:val="22"/>
          <w:highlight w:val="green"/>
        </w:rPr>
      </w:pPr>
    </w:p>
    <w:p w14:paraId="573C4B7C" w14:textId="77777777" w:rsidR="00E24C96" w:rsidRPr="00E367C8" w:rsidRDefault="00E24C96" w:rsidP="009F2B88">
      <w:pPr>
        <w:pStyle w:val="mt-3"/>
        <w:spacing w:before="240" w:after="240"/>
        <w:jc w:val="both"/>
        <w:rPr>
          <w:rFonts w:asciiTheme="minorHAnsi" w:hAnsiTheme="minorHAnsi" w:cstheme="minorHAnsi"/>
          <w:sz w:val="22"/>
          <w:szCs w:val="22"/>
          <w:highlight w:val="green"/>
        </w:rPr>
      </w:pPr>
    </w:p>
    <w:p w14:paraId="672B6DEA" w14:textId="77777777" w:rsidR="00AD4CC2" w:rsidRPr="00E367C8" w:rsidRDefault="00AD4CC2" w:rsidP="009F2B88">
      <w:pPr>
        <w:pStyle w:val="mt-3"/>
        <w:spacing w:before="240" w:after="240"/>
        <w:jc w:val="both"/>
        <w:rPr>
          <w:rFonts w:asciiTheme="minorHAnsi" w:hAnsiTheme="minorHAnsi" w:cstheme="minorHAnsi"/>
          <w:sz w:val="22"/>
          <w:szCs w:val="22"/>
          <w:highlight w:val="green"/>
        </w:rPr>
      </w:pPr>
    </w:p>
    <w:p w14:paraId="37454382" w14:textId="6095A017" w:rsidR="00B025AE" w:rsidRPr="00E367C8" w:rsidRDefault="009F2B88" w:rsidP="009F2B88">
      <w:pPr>
        <w:pStyle w:val="mt-3"/>
        <w:spacing w:before="240" w:after="24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lastRenderedPageBreak/>
        <w:t>Este comportamiento en el ahorro del Banco de la República y las sociedades de depósitos determina el aumento del endeudamiento neto total para el sector financiero, además de las sociedades de seguros que tiene un endeudamiento de -$2,5 billones para el tercer trimestre de 2023 (ver tablas 13 y 14).</w:t>
      </w:r>
    </w:p>
    <w:p w14:paraId="3B8129D2" w14:textId="77777777" w:rsidR="009F2B88" w:rsidRPr="00E367C8" w:rsidRDefault="009F2B88" w:rsidP="009F2B88">
      <w:pPr>
        <w:pStyle w:val="mt-3"/>
        <w:spacing w:before="240" w:beforeAutospacing="0" w:after="240" w:afterAutospacing="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En su excedente de explotación bruto, las sociedades financieras presentan una variación de 7,1% en el tercer trimestre de 2023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La remuneración pagada decrece 1,3%, asociado a la dinámica de los gastos de personal; principalmente en las sociedades de depósito en donde se observó una contracción en los salarios y bonos por horas extras, contrarrestando esta dinámica se encuentran las sociedades de seguros y los auxiliares financieros con crecimientos en sus gastos de personal.</w:t>
      </w:r>
    </w:p>
    <w:p w14:paraId="652E2BD0" w14:textId="77777777" w:rsidR="009F2B88" w:rsidRPr="00E367C8" w:rsidRDefault="009F2B88" w:rsidP="009F2B88">
      <w:pPr>
        <w:pStyle w:val="mt-3"/>
        <w:spacing w:before="240" w:beforeAutospacing="0" w:after="240" w:afterAutospacing="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El ingreso primario de las sociedades financieras, para el tercer trimestre de 2023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presenta una variación de 109,8%, explicado por la dinámica de la renta de propiedad recibida 44,1%, principalmente por los intereses recibidos en el trimestre, como consecuencia de las decisiones de política monetaria que han mantenido un alto nivel de las tasas de interés en el mercado. </w:t>
      </w:r>
    </w:p>
    <w:p w14:paraId="3753B230" w14:textId="77777777" w:rsidR="009F2B88" w:rsidRPr="00E367C8" w:rsidRDefault="009F2B88" w:rsidP="009F2B88">
      <w:pPr>
        <w:pStyle w:val="mt-3"/>
        <w:spacing w:before="240" w:beforeAutospacing="0" w:after="240" w:afterAutospacing="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Entre tanto, la disminución de los dividendos recibidos y de las utilidades reinvertidas provenientes de la inversión extranjera directa durante el período contrarresta el comportamiento positivo de este saldo. El saldo del ingreso disponible bruto presenta un valor de $4,9 billones en el tercer trimestre de 2023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con una variación de 3,5% respecto al tercer trimestre de 2022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que se explica por las transferencias corrientes recibidas cuya variación es de 10,7%, asociado a la dinámica positiva de las primas netas de aseguramiento del sistema de seguros sociales en salud. De otro lado, las transferencias corrientes pagadas aumentaron en 16,4%.).</w:t>
      </w:r>
      <w:r w:rsidRPr="00E367C8">
        <w:rPr>
          <w:rFonts w:asciiTheme="minorHAnsi" w:hAnsiTheme="minorHAnsi" w:cstheme="minorHAnsi"/>
          <w:sz w:val="22"/>
          <w:szCs w:val="22"/>
          <w:highlight w:val="green"/>
        </w:rPr>
        <w:tab/>
      </w:r>
    </w:p>
    <w:p w14:paraId="20E7BD4C" w14:textId="77777777" w:rsidR="009F2B88" w:rsidRPr="00E367C8" w:rsidRDefault="009F2B88" w:rsidP="009F2B88">
      <w:pPr>
        <w:pStyle w:val="mt-3"/>
        <w:spacing w:before="240" w:beforeAutospacing="0" w:after="240" w:afterAutospacing="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El ahorro del sector se ubica en $1,6 billones en el tercer trimestre de 2023pr con una variación de -12,3% respecto al tercer trimestre de 2022 </w:t>
      </w:r>
      <w:proofErr w:type="spellStart"/>
      <w:proofErr w:type="gram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w:t>
      </w:r>
      <w:proofErr w:type="gramEnd"/>
      <w:r w:rsidRPr="00E367C8">
        <w:rPr>
          <w:rFonts w:asciiTheme="minorHAnsi" w:hAnsiTheme="minorHAnsi" w:cstheme="minorHAnsi"/>
          <w:sz w:val="22"/>
          <w:szCs w:val="22"/>
          <w:highlight w:val="green"/>
        </w:rPr>
        <w:t xml:space="preserve"> cambiando la tendencia del ingreso disponible bruto. Se destaca la dinámica del ajuste por la variación de la participación neta de los hogares en los fondos de pensiones, que para el tercer trimestre de 2023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crece 13,6%. </w:t>
      </w:r>
    </w:p>
    <w:p w14:paraId="7555C8A0" w14:textId="77777777" w:rsidR="009F2B88" w:rsidRPr="00E367C8" w:rsidRDefault="009F2B88" w:rsidP="009F2B88">
      <w:pPr>
        <w:pStyle w:val="mt-3"/>
        <w:spacing w:before="240" w:beforeAutospacing="0" w:after="240" w:afterAutospacing="0"/>
        <w:jc w:val="both"/>
        <w:rPr>
          <w:rFonts w:asciiTheme="minorHAnsi" w:hAnsiTheme="minorHAnsi" w:cstheme="minorHAnsi"/>
          <w:sz w:val="22"/>
          <w:szCs w:val="22"/>
          <w:highlight w:val="green"/>
        </w:rPr>
      </w:pPr>
      <w:r w:rsidRPr="00E367C8">
        <w:rPr>
          <w:rFonts w:asciiTheme="minorHAnsi" w:hAnsiTheme="minorHAnsi" w:cstheme="minorHAnsi"/>
          <w:sz w:val="22"/>
          <w:szCs w:val="22"/>
          <w:highlight w:val="green"/>
        </w:rPr>
        <w:t xml:space="preserve">Finalmente, el endeudamiento neto de las sociedades financieras registra un valor de -$1,6 billones en el tercer trimestre de 2023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superior al -$1,2 billones del tercer trimestre de 2022 </w:t>
      </w:r>
      <w:proofErr w:type="spellStart"/>
      <w:r w:rsidRPr="00E367C8">
        <w:rPr>
          <w:rFonts w:asciiTheme="minorHAnsi" w:hAnsiTheme="minorHAnsi" w:cstheme="minorHAnsi"/>
          <w:sz w:val="22"/>
          <w:szCs w:val="22"/>
          <w:highlight w:val="green"/>
        </w:rPr>
        <w:t>pr</w:t>
      </w:r>
      <w:proofErr w:type="spellEnd"/>
      <w:r w:rsidRPr="00E367C8">
        <w:rPr>
          <w:rFonts w:asciiTheme="minorHAnsi" w:hAnsiTheme="minorHAnsi" w:cstheme="minorHAnsi"/>
          <w:sz w:val="22"/>
          <w:szCs w:val="22"/>
          <w:highlight w:val="green"/>
        </w:rPr>
        <w:t xml:space="preserve"> asociado a un mayor valor de las transferencias de capital por pagar, a pesar de la disminución de 3,0% en la adquisición de la formación bruta de capital fijo.</w:t>
      </w:r>
    </w:p>
    <w:p w14:paraId="494C5E2B"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5E315274"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7E9ABB32"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257EB8E1"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2818A4E6"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0977489A"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7B95C980" w14:textId="77777777" w:rsidR="00B025AE" w:rsidRPr="00E367C8" w:rsidRDefault="00B025AE" w:rsidP="009F2B88">
      <w:pPr>
        <w:pStyle w:val="mt-3"/>
        <w:spacing w:before="240" w:beforeAutospacing="0" w:after="240" w:afterAutospacing="0"/>
        <w:jc w:val="both"/>
        <w:rPr>
          <w:rFonts w:asciiTheme="minorHAnsi" w:hAnsiTheme="minorHAnsi" w:cstheme="minorHAnsi"/>
          <w:sz w:val="22"/>
          <w:szCs w:val="22"/>
          <w:highlight w:val="green"/>
        </w:rPr>
      </w:pPr>
    </w:p>
    <w:p w14:paraId="76FE8EEB" w14:textId="77777777" w:rsidR="009F2B88" w:rsidRPr="00E367C8" w:rsidRDefault="009F2B88" w:rsidP="009F2B88">
      <w:pPr>
        <w:pStyle w:val="mt-3"/>
        <w:spacing w:before="240" w:beforeAutospacing="0" w:after="240" w:afterAutospacing="0"/>
        <w:jc w:val="center"/>
        <w:rPr>
          <w:rFonts w:asciiTheme="minorHAnsi" w:hAnsiTheme="minorHAnsi" w:cstheme="minorHAnsi"/>
          <w:sz w:val="22"/>
          <w:szCs w:val="22"/>
          <w:highlight w:val="green"/>
        </w:rPr>
      </w:pPr>
      <w:r w:rsidRPr="00E367C8">
        <w:rPr>
          <w:rFonts w:asciiTheme="minorHAnsi" w:hAnsiTheme="minorHAnsi" w:cstheme="minorHAnsi"/>
          <w:noProof/>
          <w:sz w:val="22"/>
          <w:szCs w:val="22"/>
          <w:highlight w:val="green"/>
          <w:lang w:val="en-US" w:eastAsia="en-US"/>
        </w:rPr>
        <w:lastRenderedPageBreak/>
        <w:drawing>
          <wp:inline distT="0" distB="0" distL="0" distR="0" wp14:anchorId="245014C3" wp14:editId="2F393975">
            <wp:extent cx="5400040" cy="7119620"/>
            <wp:effectExtent l="19050" t="19050" r="10160" b="24130"/>
            <wp:docPr id="507624129" name="Imagen 1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24129" name="Imagen 11" descr="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7119620"/>
                    </a:xfrm>
                    <a:prstGeom prst="rect">
                      <a:avLst/>
                    </a:prstGeom>
                    <a:noFill/>
                    <a:ln>
                      <a:solidFill>
                        <a:schemeClr val="accent1"/>
                      </a:solidFill>
                    </a:ln>
                  </pic:spPr>
                </pic:pic>
              </a:graphicData>
            </a:graphic>
          </wp:inline>
        </w:drawing>
      </w:r>
    </w:p>
    <w:p w14:paraId="4E8B14EC" w14:textId="77777777" w:rsidR="00B025AE" w:rsidRPr="00E367C8" w:rsidRDefault="00B025AE" w:rsidP="009F2B88">
      <w:pPr>
        <w:pStyle w:val="mt-3"/>
        <w:spacing w:before="240" w:beforeAutospacing="0" w:after="240" w:afterAutospacing="0"/>
        <w:jc w:val="center"/>
        <w:rPr>
          <w:rFonts w:asciiTheme="minorHAnsi" w:hAnsiTheme="minorHAnsi" w:cstheme="minorHAnsi"/>
          <w:sz w:val="22"/>
          <w:szCs w:val="22"/>
          <w:highlight w:val="green"/>
        </w:rPr>
      </w:pPr>
    </w:p>
    <w:p w14:paraId="1EBDC3AF" w14:textId="77777777" w:rsidR="009F2B88" w:rsidRPr="00E367C8" w:rsidRDefault="009F2B88" w:rsidP="009F2B88">
      <w:pPr>
        <w:pStyle w:val="mt-3"/>
        <w:spacing w:before="240" w:beforeAutospacing="0" w:after="240" w:afterAutospacing="0"/>
        <w:jc w:val="center"/>
        <w:rPr>
          <w:rFonts w:asciiTheme="minorHAnsi" w:hAnsiTheme="minorHAnsi" w:cstheme="minorHAnsi"/>
          <w:sz w:val="22"/>
          <w:szCs w:val="22"/>
          <w:highlight w:val="green"/>
        </w:rPr>
      </w:pPr>
      <w:r w:rsidRPr="00E367C8">
        <w:rPr>
          <w:rFonts w:asciiTheme="minorHAnsi" w:hAnsiTheme="minorHAnsi" w:cstheme="minorHAnsi"/>
          <w:noProof/>
          <w:sz w:val="22"/>
          <w:szCs w:val="22"/>
          <w:highlight w:val="green"/>
          <w:lang w:val="en-US" w:eastAsia="en-US"/>
        </w:rPr>
        <w:lastRenderedPageBreak/>
        <w:drawing>
          <wp:inline distT="0" distB="0" distL="0" distR="0" wp14:anchorId="415E1552" wp14:editId="5164C022">
            <wp:extent cx="5400040" cy="5484495"/>
            <wp:effectExtent l="19050" t="19050" r="10160" b="20955"/>
            <wp:docPr id="128518398"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8398" name="Imagen 10" descr="Interfaz de usuario gráfica, Texto, Aplicación&#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5484495"/>
                    </a:xfrm>
                    <a:prstGeom prst="rect">
                      <a:avLst/>
                    </a:prstGeom>
                    <a:noFill/>
                    <a:ln>
                      <a:solidFill>
                        <a:schemeClr val="accent1"/>
                      </a:solidFill>
                    </a:ln>
                  </pic:spPr>
                </pic:pic>
              </a:graphicData>
            </a:graphic>
          </wp:inline>
        </w:drawing>
      </w:r>
    </w:p>
    <w:p w14:paraId="7108E338" w14:textId="77777777" w:rsidR="009F2B88" w:rsidRPr="00E367C8" w:rsidRDefault="009F2B88" w:rsidP="009F2B88">
      <w:pPr>
        <w:shd w:val="clear" w:color="auto" w:fill="F8F8F8"/>
        <w:jc w:val="both"/>
        <w:rPr>
          <w:rFonts w:asciiTheme="minorHAnsi" w:hAnsiTheme="minorHAnsi" w:cstheme="minorHAnsi"/>
          <w:highlight w:val="green"/>
        </w:rPr>
      </w:pPr>
      <w:r w:rsidRPr="00E367C8">
        <w:rPr>
          <w:rFonts w:asciiTheme="minorHAnsi" w:hAnsiTheme="minorHAnsi" w:cstheme="minorHAnsi"/>
          <w:highlight w:val="green"/>
        </w:rPr>
        <w:t>En el tercer trimestre de 2023, el sector de </w:t>
      </w:r>
      <w:r w:rsidRPr="00E367C8">
        <w:rPr>
          <w:rFonts w:asciiTheme="minorHAnsi" w:hAnsiTheme="minorHAnsi" w:cstheme="minorHAnsi"/>
          <w:b/>
          <w:bCs/>
          <w:highlight w:val="green"/>
        </w:rPr>
        <w:t>Comercio al por mayor y al por menor </w:t>
      </w:r>
      <w:r w:rsidRPr="00E367C8">
        <w:rPr>
          <w:rFonts w:asciiTheme="minorHAnsi" w:hAnsiTheme="minorHAnsi" w:cstheme="minorHAnsi"/>
          <w:highlight w:val="green"/>
        </w:rPr>
        <w:t>fue la actividad que más contribuyó al valor agregado del país con 20,12%, seguido del sector de </w:t>
      </w:r>
      <w:r w:rsidRPr="00E367C8">
        <w:rPr>
          <w:rFonts w:asciiTheme="minorHAnsi" w:hAnsiTheme="minorHAnsi" w:cstheme="minorHAnsi"/>
          <w:b/>
          <w:bCs/>
          <w:highlight w:val="green"/>
        </w:rPr>
        <w:t>Administración pública y defensa </w:t>
      </w:r>
      <w:r w:rsidRPr="00E367C8">
        <w:rPr>
          <w:rFonts w:asciiTheme="minorHAnsi" w:hAnsiTheme="minorHAnsi" w:cstheme="minorHAnsi"/>
          <w:highlight w:val="green"/>
        </w:rPr>
        <w:t>con 14,36% y las </w:t>
      </w:r>
      <w:r w:rsidRPr="00E367C8">
        <w:rPr>
          <w:rFonts w:asciiTheme="minorHAnsi" w:hAnsiTheme="minorHAnsi" w:cstheme="minorHAnsi"/>
          <w:b/>
          <w:bCs/>
          <w:highlight w:val="green"/>
        </w:rPr>
        <w:t>Industrias manufactureras </w:t>
      </w:r>
      <w:r w:rsidRPr="00E367C8">
        <w:rPr>
          <w:rFonts w:asciiTheme="minorHAnsi" w:hAnsiTheme="minorHAnsi" w:cstheme="minorHAnsi"/>
          <w:highlight w:val="green"/>
        </w:rPr>
        <w:t>con 13,18%.</w:t>
      </w:r>
    </w:p>
    <w:p w14:paraId="016EED9F" w14:textId="77777777" w:rsidR="00AD4CC2" w:rsidRPr="00E367C8" w:rsidRDefault="00AD4CC2" w:rsidP="009F2B88">
      <w:pPr>
        <w:shd w:val="clear" w:color="auto" w:fill="F8F8F8"/>
        <w:jc w:val="both"/>
        <w:rPr>
          <w:rFonts w:asciiTheme="minorHAnsi" w:hAnsiTheme="minorHAnsi" w:cstheme="minorHAnsi"/>
          <w:highlight w:val="green"/>
        </w:rPr>
      </w:pPr>
    </w:p>
    <w:p w14:paraId="7D01C297" w14:textId="77777777" w:rsidR="009F2B88" w:rsidRPr="00E367C8" w:rsidRDefault="009F2B88" w:rsidP="009F2B88">
      <w:pPr>
        <w:shd w:val="clear" w:color="auto" w:fill="F8F8F8"/>
        <w:jc w:val="both"/>
        <w:rPr>
          <w:rFonts w:asciiTheme="minorHAnsi" w:hAnsiTheme="minorHAnsi" w:cstheme="minorHAnsi"/>
          <w:highlight w:val="green"/>
        </w:rPr>
      </w:pPr>
      <w:r w:rsidRPr="00E367C8">
        <w:rPr>
          <w:rFonts w:asciiTheme="minorHAnsi" w:hAnsiTheme="minorHAnsi" w:cstheme="minorHAnsi"/>
          <w:highlight w:val="green"/>
        </w:rPr>
        <w:t>El sector que menos impacto tuvo durante el trimestre fue </w:t>
      </w:r>
      <w:r w:rsidRPr="00E367C8">
        <w:rPr>
          <w:rFonts w:asciiTheme="minorHAnsi" w:hAnsiTheme="minorHAnsi" w:cstheme="minorHAnsi"/>
          <w:b/>
          <w:bCs/>
          <w:highlight w:val="green"/>
        </w:rPr>
        <w:t>Información y telecomunicaciones </w:t>
      </w:r>
      <w:r w:rsidRPr="00E367C8">
        <w:rPr>
          <w:rFonts w:asciiTheme="minorHAnsi" w:hAnsiTheme="minorHAnsi" w:cstheme="minorHAnsi"/>
          <w:highlight w:val="green"/>
        </w:rPr>
        <w:t>con apenas 2,67%.</w:t>
      </w:r>
    </w:p>
    <w:p w14:paraId="479326BF" w14:textId="77777777" w:rsidR="009F2B88" w:rsidRPr="00E367C8" w:rsidRDefault="009F2B88" w:rsidP="009F2B88">
      <w:pPr>
        <w:shd w:val="clear" w:color="auto" w:fill="F8F8F8"/>
        <w:jc w:val="both"/>
        <w:rPr>
          <w:rFonts w:asciiTheme="minorHAnsi" w:hAnsiTheme="minorHAnsi" w:cstheme="minorHAnsi"/>
          <w:highlight w:val="green"/>
        </w:rPr>
      </w:pPr>
      <w:r w:rsidRPr="00E367C8">
        <w:rPr>
          <w:rFonts w:asciiTheme="minorHAnsi" w:hAnsiTheme="minorHAnsi" w:cstheme="minorHAnsi"/>
          <w:highlight w:val="green"/>
        </w:rPr>
        <w:t>* La importancia relativa se calcula sobre el valor agregado que es el PIB sin incluir los impuestos. Solo en el caso de esta participación se hace el análisis en precios corrientes.</w:t>
      </w:r>
    </w:p>
    <w:p w14:paraId="73424C05" w14:textId="77777777" w:rsidR="009F2B88" w:rsidRPr="00E367C8" w:rsidRDefault="009F2B88" w:rsidP="009F2B88">
      <w:pPr>
        <w:shd w:val="clear" w:color="auto" w:fill="F8F8F8"/>
        <w:rPr>
          <w:rFonts w:asciiTheme="minorHAnsi" w:hAnsiTheme="minorHAnsi" w:cstheme="minorHAnsi"/>
          <w:color w:val="212529"/>
          <w:highlight w:val="green"/>
        </w:rPr>
      </w:pPr>
      <w:r w:rsidRPr="00E367C8">
        <w:rPr>
          <w:rFonts w:asciiTheme="minorHAnsi" w:hAnsiTheme="minorHAnsi" w:cstheme="minorHAnsi"/>
          <w:b/>
          <w:bCs/>
          <w:color w:val="212529"/>
          <w:highlight w:val="green"/>
        </w:rPr>
        <w:t>Fuente: </w:t>
      </w:r>
      <w:r w:rsidRPr="00E367C8">
        <w:rPr>
          <w:rFonts w:asciiTheme="minorHAnsi" w:hAnsiTheme="minorHAnsi" w:cstheme="minorHAnsi"/>
          <w:color w:val="212529"/>
          <w:highlight w:val="green"/>
        </w:rPr>
        <w:t>DANE. SDDE.</w:t>
      </w:r>
    </w:p>
    <w:p w14:paraId="516B4577" w14:textId="77777777" w:rsidR="009F2B88" w:rsidRPr="00E367C8" w:rsidRDefault="009F2B88" w:rsidP="009F2B88">
      <w:pPr>
        <w:pStyle w:val="Textoindependiente"/>
        <w:spacing w:before="8"/>
        <w:jc w:val="both"/>
        <w:rPr>
          <w:rFonts w:asciiTheme="minorHAnsi" w:hAnsiTheme="minorHAnsi" w:cstheme="minorHAnsi"/>
          <w:bCs/>
          <w:color w:val="252525"/>
          <w:szCs w:val="22"/>
          <w:highlight w:val="green"/>
        </w:rPr>
      </w:pPr>
    </w:p>
    <w:p w14:paraId="5E70C1BE" w14:textId="77777777" w:rsidR="0052478E" w:rsidRPr="00E367C8" w:rsidRDefault="0052478E" w:rsidP="009F2B88">
      <w:pPr>
        <w:pStyle w:val="Textoindependiente"/>
        <w:spacing w:before="8"/>
        <w:jc w:val="both"/>
        <w:rPr>
          <w:rFonts w:asciiTheme="minorHAnsi" w:hAnsiTheme="minorHAnsi" w:cstheme="minorHAnsi"/>
          <w:bCs/>
          <w:color w:val="252525"/>
          <w:szCs w:val="22"/>
          <w:highlight w:val="green"/>
        </w:rPr>
      </w:pPr>
    </w:p>
    <w:p w14:paraId="7F9DA03D" w14:textId="77777777" w:rsidR="0052478E" w:rsidRPr="00E367C8" w:rsidRDefault="0052478E" w:rsidP="009F2B88">
      <w:pPr>
        <w:pStyle w:val="Textoindependiente"/>
        <w:spacing w:before="8"/>
        <w:jc w:val="both"/>
        <w:rPr>
          <w:rFonts w:asciiTheme="minorHAnsi" w:hAnsiTheme="minorHAnsi" w:cstheme="minorHAnsi"/>
          <w:bCs/>
          <w:color w:val="252525"/>
          <w:szCs w:val="22"/>
          <w:highlight w:val="green"/>
        </w:rPr>
      </w:pPr>
    </w:p>
    <w:p w14:paraId="1B54C491" w14:textId="77777777" w:rsidR="009F2B88" w:rsidRPr="00E367C8" w:rsidRDefault="009F2B88" w:rsidP="009F2B88">
      <w:pPr>
        <w:jc w:val="both"/>
        <w:rPr>
          <w:rFonts w:asciiTheme="minorHAnsi" w:hAnsiTheme="minorHAnsi" w:cstheme="minorHAnsi"/>
          <w:b/>
          <w:highlight w:val="green"/>
        </w:rPr>
      </w:pPr>
      <w:r w:rsidRPr="00E367C8">
        <w:rPr>
          <w:rFonts w:asciiTheme="minorHAnsi" w:hAnsiTheme="minorHAnsi" w:cstheme="minorHAnsi"/>
          <w:b/>
          <w:highlight w:val="green"/>
        </w:rPr>
        <w:lastRenderedPageBreak/>
        <w:t>Crecimiento de las Actividades Financieras y de Seguros:</w:t>
      </w:r>
    </w:p>
    <w:p w14:paraId="3B031B02" w14:textId="77777777" w:rsidR="00AD4CC2" w:rsidRPr="00E367C8" w:rsidRDefault="00AD4CC2" w:rsidP="009F2B88">
      <w:pPr>
        <w:jc w:val="both"/>
        <w:rPr>
          <w:rFonts w:asciiTheme="minorHAnsi" w:hAnsiTheme="minorHAnsi" w:cstheme="minorHAnsi"/>
          <w:b/>
          <w:highlight w:val="green"/>
        </w:rPr>
      </w:pPr>
    </w:p>
    <w:p w14:paraId="1E05BC74" w14:textId="77777777" w:rsidR="009F2B88" w:rsidRPr="00E367C8" w:rsidRDefault="009F2B88" w:rsidP="009F2B88">
      <w:pPr>
        <w:adjustRightInd w:val="0"/>
        <w:jc w:val="both"/>
        <w:rPr>
          <w:rFonts w:asciiTheme="minorHAnsi" w:hAnsiTheme="minorHAnsi" w:cstheme="minorHAnsi"/>
          <w:highlight w:val="green"/>
        </w:rPr>
      </w:pPr>
      <w:r w:rsidRPr="00E367C8">
        <w:rPr>
          <w:rFonts w:asciiTheme="minorHAnsi" w:hAnsiTheme="minorHAnsi" w:cstheme="minorHAnsi"/>
          <w:highlight w:val="green"/>
        </w:rPr>
        <w:t>En el tercer trimestre de 2023pr, el valor agregado de las actividades financieras y de seguros crece 1,6% en su serie original, respecto al mismo periodo de 2022pr. Para la serie ajustada por efecto estacional y calendario, el valor agregado decrece en 0,9%, respecto al trimestre inmediatamente anterior (ver tabla 9).</w:t>
      </w:r>
    </w:p>
    <w:p w14:paraId="2BD6A753" w14:textId="77777777" w:rsidR="0052478E" w:rsidRPr="00E367C8" w:rsidRDefault="0052478E" w:rsidP="009F2B88">
      <w:pPr>
        <w:adjustRightInd w:val="0"/>
        <w:jc w:val="both"/>
        <w:rPr>
          <w:rFonts w:asciiTheme="minorHAnsi" w:hAnsiTheme="minorHAnsi" w:cstheme="minorHAnsi"/>
          <w:highlight w:val="green"/>
        </w:rPr>
      </w:pPr>
    </w:p>
    <w:p w14:paraId="5D1B7672" w14:textId="77777777" w:rsidR="009F2B88" w:rsidRPr="00E367C8" w:rsidRDefault="009F2B88" w:rsidP="009F2B88">
      <w:pPr>
        <w:adjustRightInd w:val="0"/>
        <w:jc w:val="center"/>
        <w:rPr>
          <w:rFonts w:asciiTheme="minorHAnsi" w:hAnsiTheme="minorHAnsi" w:cstheme="minorHAnsi"/>
          <w:highlight w:val="green"/>
        </w:rPr>
      </w:pPr>
      <w:r w:rsidRPr="00E367C8">
        <w:rPr>
          <w:rFonts w:asciiTheme="minorHAnsi" w:hAnsiTheme="minorHAnsi" w:cstheme="minorHAnsi"/>
          <w:noProof/>
          <w:highlight w:val="green"/>
          <w:lang w:val="en-US"/>
        </w:rPr>
        <w:drawing>
          <wp:inline distT="0" distB="0" distL="0" distR="0" wp14:anchorId="212BADEC" wp14:editId="23BBFAD9">
            <wp:extent cx="5400040" cy="2987675"/>
            <wp:effectExtent l="19050" t="19050" r="10160" b="22225"/>
            <wp:docPr id="1675374734" name="Imagen 9"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4734" name="Imagen 9" descr="Tabla&#10;&#10;Descripción generada automáticamente con confianza m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2987675"/>
                    </a:xfrm>
                    <a:prstGeom prst="rect">
                      <a:avLst/>
                    </a:prstGeom>
                    <a:noFill/>
                    <a:ln>
                      <a:solidFill>
                        <a:schemeClr val="accent1"/>
                      </a:solidFill>
                    </a:ln>
                  </pic:spPr>
                </pic:pic>
              </a:graphicData>
            </a:graphic>
          </wp:inline>
        </w:drawing>
      </w:r>
    </w:p>
    <w:p w14:paraId="3271216C" w14:textId="77777777" w:rsidR="0052478E" w:rsidRPr="00E367C8" w:rsidRDefault="0052478E" w:rsidP="009F2B88">
      <w:pPr>
        <w:adjustRightInd w:val="0"/>
        <w:jc w:val="center"/>
        <w:rPr>
          <w:rFonts w:asciiTheme="minorHAnsi" w:hAnsiTheme="minorHAnsi" w:cstheme="minorHAnsi"/>
          <w:highlight w:val="green"/>
        </w:rPr>
      </w:pPr>
    </w:p>
    <w:p w14:paraId="019BD81F" w14:textId="77777777" w:rsidR="009F2B88" w:rsidRPr="00E367C8" w:rsidRDefault="009F2B88" w:rsidP="009F2B88">
      <w:pPr>
        <w:spacing w:line="244" w:lineRule="auto"/>
        <w:rPr>
          <w:rFonts w:asciiTheme="minorHAnsi" w:hAnsiTheme="minorHAnsi" w:cstheme="minorHAnsi"/>
          <w:b/>
          <w:bCs/>
          <w:highlight w:val="green"/>
        </w:rPr>
      </w:pPr>
      <w:r w:rsidRPr="00E367C8">
        <w:rPr>
          <w:rFonts w:asciiTheme="minorHAnsi" w:hAnsiTheme="minorHAnsi" w:cstheme="minorHAnsi"/>
          <w:b/>
          <w:bCs/>
          <w:highlight w:val="green"/>
        </w:rPr>
        <w:t>ÍNDICE DE PRECIOS AL CONSUMIDOR</w:t>
      </w:r>
    </w:p>
    <w:p w14:paraId="52BED588" w14:textId="77777777" w:rsidR="009F2B88" w:rsidRPr="00E367C8" w:rsidRDefault="009F2B88" w:rsidP="009F2B88">
      <w:pPr>
        <w:spacing w:before="75" w:after="75"/>
        <w:rPr>
          <w:rFonts w:asciiTheme="minorHAnsi" w:hAnsiTheme="minorHAnsi" w:cstheme="minorHAnsi"/>
          <w:b/>
          <w:bCs/>
          <w:color w:val="3C3C3B"/>
          <w:highlight w:val="green"/>
        </w:rPr>
      </w:pPr>
      <w:r w:rsidRPr="00E367C8">
        <w:rPr>
          <w:rStyle w:val="Textoennegrita"/>
          <w:rFonts w:asciiTheme="minorHAnsi" w:hAnsiTheme="minorHAnsi" w:cstheme="minorHAnsi"/>
          <w:color w:val="3C3C3B"/>
          <w:highlight w:val="green"/>
          <w:shd w:val="clear" w:color="auto" w:fill="FDFDFD"/>
        </w:rPr>
        <w:t>En enero de 2024 la variación mensual del IPC fue 0,92%, y la variación anual fue 8,35%</w:t>
      </w:r>
      <w:r w:rsidRPr="00E367C8">
        <w:rPr>
          <w:rFonts w:asciiTheme="minorHAnsi" w:hAnsiTheme="minorHAnsi" w:cstheme="minorHAnsi"/>
          <w:b/>
          <w:bCs/>
          <w:color w:val="3C3C3B"/>
          <w:highlight w:val="green"/>
        </w:rPr>
        <w:t> </w:t>
      </w:r>
    </w:p>
    <w:p w14:paraId="7E12AC0E" w14:textId="77777777" w:rsidR="009F2B88" w:rsidRPr="00E367C8" w:rsidRDefault="009F2B88" w:rsidP="009F2B88">
      <w:pPr>
        <w:spacing w:before="75" w:after="75"/>
        <w:rPr>
          <w:rFonts w:asciiTheme="minorHAnsi" w:hAnsiTheme="minorHAnsi" w:cstheme="minorHAnsi"/>
          <w:color w:val="3C3C3B"/>
          <w:highlight w:val="green"/>
        </w:rPr>
      </w:pPr>
      <w:r w:rsidRPr="00E367C8">
        <w:rPr>
          <w:rFonts w:asciiTheme="minorHAnsi" w:hAnsiTheme="minorHAnsi" w:cstheme="minorHAnsi"/>
          <w:noProof/>
          <w:color w:val="3C3C3B"/>
          <w:highlight w:val="green"/>
          <w:lang w:val="en-US"/>
        </w:rPr>
        <w:drawing>
          <wp:inline distT="0" distB="0" distL="0" distR="0" wp14:anchorId="7D930E93" wp14:editId="25F943E1">
            <wp:extent cx="5399984" cy="2427936"/>
            <wp:effectExtent l="19050" t="19050" r="10795" b="10795"/>
            <wp:docPr id="1848858745" name="Imagen 8"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58745" name="Imagen 8" descr="Escala de tiempo&#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6268" cy="2430761"/>
                    </a:xfrm>
                    <a:prstGeom prst="rect">
                      <a:avLst/>
                    </a:prstGeom>
                    <a:noFill/>
                    <a:ln>
                      <a:solidFill>
                        <a:schemeClr val="accent1"/>
                      </a:solidFill>
                    </a:ln>
                  </pic:spPr>
                </pic:pic>
              </a:graphicData>
            </a:graphic>
          </wp:inline>
        </w:drawing>
      </w:r>
    </w:p>
    <w:p w14:paraId="6DF2337E" w14:textId="77777777" w:rsidR="0052478E" w:rsidRPr="00E367C8" w:rsidRDefault="0052478E" w:rsidP="009F2B88">
      <w:pPr>
        <w:spacing w:before="75" w:after="75"/>
        <w:rPr>
          <w:rFonts w:asciiTheme="minorHAnsi" w:hAnsiTheme="minorHAnsi" w:cstheme="minorHAnsi"/>
          <w:color w:val="3C3C3B"/>
          <w:highlight w:val="green"/>
        </w:rPr>
      </w:pPr>
    </w:p>
    <w:p w14:paraId="2D5F7EBC" w14:textId="77777777" w:rsidR="009F2B88" w:rsidRPr="00E367C8" w:rsidRDefault="009F2B88" w:rsidP="009F2B88">
      <w:pPr>
        <w:jc w:val="both"/>
        <w:rPr>
          <w:rFonts w:asciiTheme="minorHAnsi" w:hAnsiTheme="minorHAnsi" w:cstheme="minorHAnsi"/>
          <w:highlight w:val="green"/>
        </w:rPr>
      </w:pPr>
      <w:r w:rsidRPr="00E367C8">
        <w:rPr>
          <w:rFonts w:asciiTheme="minorHAnsi" w:hAnsiTheme="minorHAnsi" w:cstheme="minorHAnsi"/>
          <w:highlight w:val="green"/>
        </w:rPr>
        <w:lastRenderedPageBreak/>
        <w:t>En enero de 2024 la variación anual del IPC fue 8,35%, es decir, 4,90 puntos porcentuales menor que la reportada en el mismo periodo del año anterior, cuando fue de 13,25%.</w:t>
      </w:r>
    </w:p>
    <w:p w14:paraId="6B62D7E5" w14:textId="77777777" w:rsidR="0052478E" w:rsidRPr="00E367C8" w:rsidRDefault="0052478E" w:rsidP="009F2B88">
      <w:pPr>
        <w:jc w:val="both"/>
        <w:rPr>
          <w:rFonts w:asciiTheme="minorHAnsi" w:hAnsiTheme="minorHAnsi" w:cstheme="minorHAnsi"/>
          <w:highlight w:val="green"/>
        </w:rPr>
      </w:pPr>
    </w:p>
    <w:p w14:paraId="438DD0A2" w14:textId="77777777" w:rsidR="009F2B88" w:rsidRPr="00E367C8" w:rsidRDefault="009F2B88" w:rsidP="009F2B88">
      <w:pPr>
        <w:jc w:val="both"/>
        <w:rPr>
          <w:rFonts w:asciiTheme="minorHAnsi" w:hAnsiTheme="minorHAnsi" w:cstheme="minorHAnsi"/>
          <w:highlight w:val="green"/>
        </w:rPr>
      </w:pPr>
      <w:r w:rsidRPr="00E367C8">
        <w:rPr>
          <w:rFonts w:asciiTheme="minorHAnsi" w:hAnsiTheme="minorHAnsi" w:cstheme="minorHAnsi"/>
          <w:highlight w:val="green"/>
        </w:rPr>
        <w:t xml:space="preserve">En el mes de enero de 2024, el IPC registró una variación de 0,92% en comparación con diciembre de 2023, cinco divisiones se ubicaron por encima del promedio nacional (0,92%): Transporte (1,99%), Restaurantes y hoteles (1,72%), Bebidas alcohólicas y tabaco (1,11%), Salud (1,10%) y por último Bienes y servicios diversos (0,97%). Por debajo se ubicaron: Alojamiento, agua, electricidad, gas y otros combustibles (0,84%), Muebles, artículos para el hogar y para la conservación ordinaria del hogar (0,69%), Alimentos y bebidas no alcohólicas (0,48%), Prendas de vestir y calzado (0,30%), Educación (0,00%), Información y comunicación (-0,12%) </w:t>
      </w:r>
      <w:proofErr w:type="gramStart"/>
      <w:r w:rsidRPr="00E367C8">
        <w:rPr>
          <w:rFonts w:asciiTheme="minorHAnsi" w:hAnsiTheme="minorHAnsi" w:cstheme="minorHAnsi"/>
          <w:highlight w:val="green"/>
        </w:rPr>
        <w:t>y</w:t>
      </w:r>
      <w:proofErr w:type="gramEnd"/>
      <w:r w:rsidRPr="00E367C8">
        <w:rPr>
          <w:rFonts w:asciiTheme="minorHAnsi" w:hAnsiTheme="minorHAnsi" w:cstheme="minorHAnsi"/>
          <w:highlight w:val="green"/>
        </w:rPr>
        <w:t xml:space="preserve"> por último, Recreación y cultura (-0,21%).</w:t>
      </w:r>
    </w:p>
    <w:p w14:paraId="19F688DC" w14:textId="77777777" w:rsidR="00E24C96" w:rsidRPr="00E367C8" w:rsidRDefault="00E24C96" w:rsidP="009F2B88">
      <w:pPr>
        <w:jc w:val="both"/>
        <w:rPr>
          <w:rFonts w:asciiTheme="minorHAnsi" w:hAnsiTheme="minorHAnsi" w:cstheme="minorHAnsi"/>
          <w:highlight w:val="green"/>
        </w:rPr>
      </w:pPr>
    </w:p>
    <w:p w14:paraId="3289A4A1" w14:textId="77777777" w:rsidR="009F2B88" w:rsidRPr="00E367C8" w:rsidRDefault="009F2B88" w:rsidP="009F2B88">
      <w:pPr>
        <w:pStyle w:val="Default"/>
        <w:jc w:val="both"/>
        <w:rPr>
          <w:rFonts w:asciiTheme="minorHAnsi" w:hAnsiTheme="minorHAnsi" w:cstheme="minorHAnsi"/>
          <w:color w:val="auto"/>
          <w:sz w:val="22"/>
          <w:szCs w:val="22"/>
          <w:highlight w:val="green"/>
          <w:lang w:val="es-CO"/>
        </w:rPr>
      </w:pPr>
      <w:r w:rsidRPr="00E367C8">
        <w:rPr>
          <w:rFonts w:asciiTheme="minorHAnsi" w:hAnsiTheme="minorHAnsi" w:cstheme="minorHAnsi"/>
          <w:color w:val="auto"/>
          <w:sz w:val="22"/>
          <w:szCs w:val="22"/>
          <w:highlight w:val="green"/>
          <w:lang w:val="es-CO"/>
        </w:rPr>
        <w:t xml:space="preserve">Conforme a lo establecido en el Decreto </w:t>
      </w:r>
      <w:proofErr w:type="spellStart"/>
      <w:r w:rsidRPr="00E367C8">
        <w:rPr>
          <w:rFonts w:asciiTheme="minorHAnsi" w:hAnsiTheme="minorHAnsi" w:cstheme="minorHAnsi"/>
          <w:color w:val="auto"/>
          <w:sz w:val="22"/>
          <w:szCs w:val="22"/>
          <w:highlight w:val="green"/>
          <w:lang w:val="es-CO"/>
        </w:rPr>
        <w:t>Nº</w:t>
      </w:r>
      <w:proofErr w:type="spellEnd"/>
      <w:r w:rsidRPr="00E367C8">
        <w:rPr>
          <w:rFonts w:asciiTheme="minorHAnsi" w:hAnsiTheme="minorHAnsi" w:cstheme="minorHAnsi"/>
          <w:color w:val="auto"/>
          <w:sz w:val="22"/>
          <w:szCs w:val="22"/>
          <w:highlight w:val="green"/>
          <w:lang w:val="es-CO"/>
        </w:rPr>
        <w:t xml:space="preserve"> 579 del 31 de Mayo del 2021: Por medio del cual se expidieron medidas encaminadas a la reactivación económica, a través de las cuales se desarrolló la posibilidad de que en los procedimientos de selección se evaluara la capacidad financiera y organizacional de los oferentes teniendo en cuenta el mejor año fiscal del proponente de los últimos tres (3) años, para lo cual se previeron las modificaciones transitorias necesarias al contenido del Registro Único de Proponentes RUP. Para lograr lo anterior, se adicionaron algunos parágrafos transitorios a los artículos 2.2.1.1.1.5.2., 2.2.1.1.1.5.6. Y 2.2.1.1.1.6.2. del Decreto 1082 de 2015, Único Reglamentario del Sector Administrativo de Planeación Nacional. </w:t>
      </w:r>
    </w:p>
    <w:p w14:paraId="657D7CCB" w14:textId="77777777" w:rsidR="009F2B88" w:rsidRPr="00E367C8" w:rsidRDefault="009F2B88" w:rsidP="009F2B88">
      <w:pPr>
        <w:pStyle w:val="Default"/>
        <w:jc w:val="both"/>
        <w:rPr>
          <w:rFonts w:asciiTheme="minorHAnsi" w:hAnsiTheme="minorHAnsi" w:cstheme="minorHAnsi"/>
          <w:color w:val="auto"/>
          <w:sz w:val="22"/>
          <w:szCs w:val="22"/>
          <w:highlight w:val="green"/>
          <w:lang w:val="es-CO"/>
        </w:rPr>
      </w:pPr>
    </w:p>
    <w:p w14:paraId="1A295C74" w14:textId="77777777" w:rsidR="009F2B88" w:rsidRPr="00E367C8" w:rsidRDefault="009F2B88" w:rsidP="009F2B88">
      <w:pPr>
        <w:jc w:val="center"/>
        <w:rPr>
          <w:rFonts w:asciiTheme="minorHAnsi" w:hAnsiTheme="minorHAnsi" w:cstheme="minorHAnsi"/>
          <w:noProof/>
          <w:highlight w:val="green"/>
        </w:rPr>
      </w:pPr>
      <w:r w:rsidRPr="00E367C8">
        <w:rPr>
          <w:rFonts w:asciiTheme="minorHAnsi" w:hAnsiTheme="minorHAnsi" w:cstheme="minorHAnsi"/>
          <w:noProof/>
          <w:highlight w:val="green"/>
          <w:lang w:val="en-US"/>
        </w:rPr>
        <w:drawing>
          <wp:inline distT="0" distB="0" distL="0" distR="0" wp14:anchorId="46828BBE" wp14:editId="1937E293">
            <wp:extent cx="5400040" cy="3454305"/>
            <wp:effectExtent l="19050" t="19050" r="10160" b="13335"/>
            <wp:docPr id="419701386" name="Imagen 7"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01386" name="Imagen 7" descr="Interfaz de usuario gráfica, Sitio web&#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l="18159" t="33192" r="20232" b="11285"/>
                    <a:stretch>
                      <a:fillRect/>
                    </a:stretch>
                  </pic:blipFill>
                  <pic:spPr bwMode="auto">
                    <a:xfrm>
                      <a:off x="0" y="0"/>
                      <a:ext cx="5406429" cy="3458392"/>
                    </a:xfrm>
                    <a:prstGeom prst="rect">
                      <a:avLst/>
                    </a:prstGeom>
                    <a:noFill/>
                    <a:ln>
                      <a:solidFill>
                        <a:schemeClr val="accent1"/>
                      </a:solidFill>
                    </a:ln>
                  </pic:spPr>
                </pic:pic>
              </a:graphicData>
            </a:graphic>
          </wp:inline>
        </w:drawing>
      </w:r>
    </w:p>
    <w:p w14:paraId="3FCC866A" w14:textId="77777777" w:rsidR="009F2B88" w:rsidRPr="00E367C8" w:rsidRDefault="009F2B88" w:rsidP="009F2B88">
      <w:pPr>
        <w:jc w:val="both"/>
        <w:rPr>
          <w:rFonts w:asciiTheme="minorHAnsi" w:hAnsiTheme="minorHAnsi" w:cstheme="minorHAnsi"/>
          <w:noProof/>
          <w:highlight w:val="green"/>
        </w:rPr>
      </w:pPr>
    </w:p>
    <w:p w14:paraId="239E6BE9" w14:textId="77777777" w:rsidR="00FC3A45" w:rsidRPr="00E367C8" w:rsidRDefault="00FC3A45" w:rsidP="009F2B88">
      <w:pPr>
        <w:jc w:val="both"/>
        <w:rPr>
          <w:rFonts w:asciiTheme="minorHAnsi" w:hAnsiTheme="minorHAnsi" w:cstheme="minorHAnsi"/>
          <w:noProof/>
          <w:highlight w:val="green"/>
        </w:rPr>
      </w:pPr>
    </w:p>
    <w:p w14:paraId="51775A4D" w14:textId="77777777" w:rsidR="00FC3A45" w:rsidRPr="00E367C8" w:rsidRDefault="00FC3A45" w:rsidP="009F2B88">
      <w:pPr>
        <w:jc w:val="both"/>
        <w:rPr>
          <w:rFonts w:asciiTheme="minorHAnsi" w:hAnsiTheme="minorHAnsi" w:cstheme="minorHAnsi"/>
          <w:noProof/>
          <w:highlight w:val="green"/>
        </w:rPr>
      </w:pPr>
    </w:p>
    <w:p w14:paraId="4A521036" w14:textId="77777777" w:rsidR="00FC3A45" w:rsidRPr="00E367C8" w:rsidRDefault="00FC3A45" w:rsidP="009F2B88">
      <w:pPr>
        <w:jc w:val="both"/>
        <w:rPr>
          <w:rFonts w:asciiTheme="minorHAnsi" w:hAnsiTheme="minorHAnsi" w:cstheme="minorHAnsi"/>
          <w:noProof/>
          <w:highlight w:val="green"/>
        </w:rPr>
      </w:pPr>
    </w:p>
    <w:p w14:paraId="6D4B7C59" w14:textId="77777777" w:rsidR="00FC3A45" w:rsidRPr="00E367C8" w:rsidRDefault="00FC3A45" w:rsidP="009F2B88">
      <w:pPr>
        <w:jc w:val="both"/>
        <w:rPr>
          <w:rFonts w:asciiTheme="minorHAnsi" w:hAnsiTheme="minorHAnsi" w:cstheme="minorHAnsi"/>
          <w:noProof/>
          <w:highlight w:val="green"/>
        </w:rPr>
      </w:pPr>
    </w:p>
    <w:p w14:paraId="672AE2D9" w14:textId="77777777" w:rsidR="00FC3A45" w:rsidRPr="00E367C8" w:rsidRDefault="00FC3A45" w:rsidP="009F2B88">
      <w:pPr>
        <w:jc w:val="both"/>
        <w:rPr>
          <w:rFonts w:asciiTheme="minorHAnsi" w:hAnsiTheme="minorHAnsi" w:cstheme="minorHAnsi"/>
          <w:noProof/>
          <w:highlight w:val="green"/>
        </w:rPr>
      </w:pPr>
    </w:p>
    <w:p w14:paraId="244D53CC" w14:textId="77777777" w:rsidR="009F2B88" w:rsidRPr="00E367C8" w:rsidRDefault="009F2B88" w:rsidP="009F2B88">
      <w:pPr>
        <w:jc w:val="both"/>
        <w:rPr>
          <w:rFonts w:asciiTheme="minorHAnsi" w:hAnsiTheme="minorHAnsi" w:cstheme="minorHAnsi"/>
          <w:noProof/>
          <w:highlight w:val="green"/>
        </w:rPr>
      </w:pPr>
      <w:r w:rsidRPr="00E367C8">
        <w:rPr>
          <w:rFonts w:asciiTheme="minorHAnsi" w:hAnsiTheme="minorHAnsi" w:cstheme="minorHAnsi"/>
          <w:noProof/>
          <w:highlight w:val="green"/>
          <w:lang w:val="en-US"/>
        </w:rPr>
        <w:drawing>
          <wp:inline distT="0" distB="0" distL="0" distR="0" wp14:anchorId="0FFBE01F" wp14:editId="4CD1BA03">
            <wp:extent cx="5400040" cy="3375025"/>
            <wp:effectExtent l="19050" t="19050" r="10160" b="15875"/>
            <wp:docPr id="602505629" name="Imagen 6"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05629" name="Imagen 6" descr="Interfaz de usuario gráfica, Aplicación, Excel&#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l="16998" t="23235" r="20061" b="13699"/>
                    <a:stretch>
                      <a:fillRect/>
                    </a:stretch>
                  </pic:blipFill>
                  <pic:spPr bwMode="auto">
                    <a:xfrm>
                      <a:off x="0" y="0"/>
                      <a:ext cx="5400040" cy="3375025"/>
                    </a:xfrm>
                    <a:prstGeom prst="rect">
                      <a:avLst/>
                    </a:prstGeom>
                    <a:noFill/>
                    <a:ln>
                      <a:solidFill>
                        <a:schemeClr val="accent1"/>
                      </a:solidFill>
                    </a:ln>
                  </pic:spPr>
                </pic:pic>
              </a:graphicData>
            </a:graphic>
          </wp:inline>
        </w:drawing>
      </w:r>
    </w:p>
    <w:p w14:paraId="00E6EFF5" w14:textId="77777777" w:rsidR="00FC3A45" w:rsidRPr="00E367C8" w:rsidRDefault="00FC3A45" w:rsidP="009F2B88">
      <w:pPr>
        <w:jc w:val="both"/>
        <w:rPr>
          <w:rFonts w:asciiTheme="minorHAnsi" w:hAnsiTheme="minorHAnsi" w:cstheme="minorHAnsi"/>
          <w:noProof/>
          <w:highlight w:val="green"/>
        </w:rPr>
      </w:pPr>
    </w:p>
    <w:p w14:paraId="459470EE" w14:textId="77777777" w:rsidR="009F2B88" w:rsidRPr="00E367C8" w:rsidRDefault="009F2B88" w:rsidP="009F2B88">
      <w:pPr>
        <w:jc w:val="both"/>
        <w:rPr>
          <w:rFonts w:asciiTheme="minorHAnsi" w:hAnsiTheme="minorHAnsi" w:cstheme="minorHAnsi"/>
          <w:highlight w:val="green"/>
        </w:rPr>
      </w:pPr>
      <w:r w:rsidRPr="00E367C8">
        <w:rPr>
          <w:rFonts w:asciiTheme="minorHAnsi" w:hAnsiTheme="minorHAnsi" w:cstheme="minorHAnsi"/>
          <w:highlight w:val="green"/>
        </w:rPr>
        <w:t xml:space="preserve">El primer problema que surge en un contrato de seguros es la asimetría de la información, pues ni los consumidores de seguros, ni las compañías aseguradoras, tienen acceso a la misma información. Por un lado, los consumidores tienen información sobre sus perfiles de riesgo que las compañías desconocen; esta situación genera la selección adversa, siendo los compradores con mayor riesgo los que buscan mayor aseguramiento. </w:t>
      </w:r>
    </w:p>
    <w:p w14:paraId="57F7D952" w14:textId="77777777" w:rsidR="00FC3A45" w:rsidRPr="00E367C8" w:rsidRDefault="00FC3A45" w:rsidP="009F2B88">
      <w:pPr>
        <w:jc w:val="both"/>
        <w:rPr>
          <w:rFonts w:asciiTheme="minorHAnsi" w:hAnsiTheme="minorHAnsi" w:cstheme="minorHAnsi"/>
          <w:highlight w:val="green"/>
        </w:rPr>
      </w:pPr>
    </w:p>
    <w:p w14:paraId="6ABD40A9" w14:textId="5A58F75A" w:rsidR="009F2B88" w:rsidRDefault="009F2B88" w:rsidP="009F2B88">
      <w:pPr>
        <w:jc w:val="both"/>
        <w:rPr>
          <w:rFonts w:asciiTheme="minorHAnsi" w:hAnsiTheme="minorHAnsi" w:cstheme="minorHAnsi"/>
        </w:rPr>
      </w:pPr>
      <w:r w:rsidRPr="00E367C8">
        <w:rPr>
          <w:rFonts w:asciiTheme="minorHAnsi" w:hAnsiTheme="minorHAnsi" w:cstheme="minorHAnsi"/>
          <w:highlight w:val="green"/>
        </w:rPr>
        <w:t>Los intermediarios disminuyen este problema en la medida en que conocen el perfil de riesgo de los asegurados, dado que sus procesos de identificación del riesgo (suscripción) están mejor desarrollados y tienen una relación más cercana con el consumidor. Para otro lado, también orientan al consumidor en la elección de la compañía aseguradora y el tipo de seguro, pues para los consumidores de seguros es difícil entender y evaluar los diferentes productos que se ofrecen en el mercado. Lo anterior, debido a su sofisticación técnica y jurídica, y a que el consumidor no siempre conoce a las compañías de seguros en términos de solidez financiera, calidad de sus productos, entre otros factores</w:t>
      </w:r>
      <w:r w:rsidR="00FC3A45" w:rsidRPr="00E367C8">
        <w:rPr>
          <w:rFonts w:asciiTheme="minorHAnsi" w:hAnsiTheme="minorHAnsi" w:cstheme="minorHAnsi"/>
          <w:highlight w:val="green"/>
        </w:rPr>
        <w:t>.</w:t>
      </w:r>
    </w:p>
    <w:p w14:paraId="47B09824" w14:textId="77777777" w:rsidR="00FC3A45" w:rsidRPr="00041902" w:rsidRDefault="00FC3A45" w:rsidP="009F2B88">
      <w:pPr>
        <w:jc w:val="both"/>
        <w:rPr>
          <w:rFonts w:asciiTheme="minorHAnsi" w:hAnsiTheme="minorHAnsi" w:cstheme="minorHAnsi"/>
        </w:rPr>
      </w:pPr>
    </w:p>
    <w:p w14:paraId="79668A4D" w14:textId="77777777" w:rsidR="009F2B88" w:rsidRDefault="009F2B88" w:rsidP="009F2B88">
      <w:pPr>
        <w:jc w:val="both"/>
        <w:rPr>
          <w:rFonts w:asciiTheme="minorHAnsi" w:hAnsiTheme="minorHAnsi" w:cstheme="minorHAnsi"/>
          <w:b/>
        </w:rPr>
      </w:pPr>
      <w:r w:rsidRPr="00C44416">
        <w:rPr>
          <w:rFonts w:asciiTheme="minorHAnsi" w:hAnsiTheme="minorHAnsi" w:cstheme="minorHAnsi"/>
          <w:b/>
        </w:rPr>
        <w:t>ESTUDIO DE MERCADO PARA LA DEFINICIÓN DE LOS INDICADORES FINANCIEROS Y DE CAPACIDAD ORGANIZACIONAL</w:t>
      </w:r>
    </w:p>
    <w:p w14:paraId="0ED8557A" w14:textId="77777777" w:rsidR="00FC3A45" w:rsidRPr="00041902" w:rsidRDefault="00FC3A45" w:rsidP="009F2B88">
      <w:pPr>
        <w:jc w:val="both"/>
        <w:rPr>
          <w:rFonts w:asciiTheme="minorHAnsi" w:hAnsiTheme="minorHAnsi" w:cstheme="minorHAnsi"/>
          <w:b/>
        </w:rPr>
      </w:pPr>
    </w:p>
    <w:p w14:paraId="65909727" w14:textId="78B95137" w:rsidR="00474546" w:rsidRPr="00E02BD3" w:rsidRDefault="009F2B88" w:rsidP="00474546">
      <w:pPr>
        <w:tabs>
          <w:tab w:val="center" w:pos="-7655"/>
        </w:tabs>
        <w:ind w:left="284"/>
        <w:rPr>
          <w:rFonts w:ascii="Poppins" w:hAnsi="Poppins" w:cs="Poppins"/>
          <w:b/>
          <w:sz w:val="20"/>
          <w:szCs w:val="20"/>
        </w:rPr>
      </w:pPr>
      <w:r w:rsidRPr="000525C1">
        <w:rPr>
          <w:rFonts w:asciiTheme="minorHAnsi" w:hAnsiTheme="minorHAnsi" w:cstheme="minorHAnsi"/>
        </w:rPr>
        <w:t xml:space="preserve">El presente estudio se lleva a cabo en el marco del proceso de Concurso de Méritos, cuyo objeto es: </w:t>
      </w:r>
      <w:r w:rsidR="00474546" w:rsidRPr="00E02BD3">
        <w:rPr>
          <w:rFonts w:ascii="Poppins" w:hAnsi="Poppins" w:cs="Poppins"/>
          <w:b/>
          <w:sz w:val="20"/>
          <w:szCs w:val="20"/>
        </w:rPr>
        <w:t>“</w:t>
      </w:r>
      <w:r w:rsidR="00474546" w:rsidRPr="00474546">
        <w:rPr>
          <w:rFonts w:ascii="Poppins" w:hAnsi="Poppins" w:cs="Poppins"/>
          <w:b/>
          <w:sz w:val="20"/>
          <w:szCs w:val="20"/>
          <w:highlight w:val="green"/>
        </w:rPr>
        <w:t>DESCRIBIR EL OBJETO”</w:t>
      </w:r>
    </w:p>
    <w:p w14:paraId="6C545345" w14:textId="7703A9A0" w:rsidR="00FA3F09" w:rsidRPr="000525C1" w:rsidRDefault="00FA3F09" w:rsidP="009F2B88">
      <w:pPr>
        <w:pStyle w:val="Textoindependiente"/>
        <w:ind w:right="456"/>
        <w:jc w:val="both"/>
        <w:rPr>
          <w:rFonts w:asciiTheme="minorHAnsi" w:hAnsiTheme="minorHAnsi" w:cstheme="minorHAnsi"/>
          <w:sz w:val="22"/>
          <w:szCs w:val="22"/>
        </w:rPr>
      </w:pPr>
    </w:p>
    <w:p w14:paraId="4A2AAE75" w14:textId="77777777" w:rsidR="00FC3A45" w:rsidRPr="000525C1" w:rsidRDefault="00FC3A45" w:rsidP="009F2B88">
      <w:pPr>
        <w:pStyle w:val="Textoindependiente"/>
        <w:ind w:right="456"/>
        <w:jc w:val="both"/>
        <w:rPr>
          <w:rFonts w:asciiTheme="minorHAnsi" w:hAnsiTheme="minorHAnsi" w:cstheme="minorHAnsi"/>
          <w:sz w:val="22"/>
          <w:szCs w:val="22"/>
        </w:rPr>
      </w:pPr>
    </w:p>
    <w:p w14:paraId="12A78C44"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Con el fin de establecer los Requisitos Habilitantes de Carácter Financiero aplicables al pliego de condiciones. Para llegar al planteamiento de los indicadores se tienen en cuenta los indicadores de capacidad financiera y capacidad organizacional propuestos por Colombia Compra Eficiente en su “Manual para determinar y verificar los requisitos </w:t>
      </w:r>
      <w:r w:rsidRPr="007E6FE8">
        <w:rPr>
          <w:rFonts w:asciiTheme="minorHAnsi" w:hAnsiTheme="minorHAnsi" w:cstheme="minorHAnsi"/>
          <w:highlight w:val="green"/>
        </w:rPr>
        <w:lastRenderedPageBreak/>
        <w:t>habilitantes en el proceso de contratación”.</w:t>
      </w:r>
    </w:p>
    <w:p w14:paraId="05E9593B" w14:textId="77777777" w:rsidR="004A0A86" w:rsidRPr="007E6FE8" w:rsidRDefault="004A0A86" w:rsidP="009F2B88">
      <w:pPr>
        <w:jc w:val="both"/>
        <w:rPr>
          <w:rFonts w:asciiTheme="minorHAnsi" w:hAnsiTheme="minorHAnsi" w:cstheme="minorHAnsi"/>
          <w:highlight w:val="green"/>
        </w:rPr>
      </w:pPr>
    </w:p>
    <w:p w14:paraId="40BCBF81"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Adicionalmente, se analiza la información financiera de las empresas requeridas para la invitación, a nivel nacional, con base en la información capturada de la página de la Superintendencia de Sociedades en el Sistema Integrado de Información Societaria, en el link </w:t>
      </w:r>
      <w:hyperlink r:id="rId24" w:anchor="/massivereports" w:history="1">
        <w:r w:rsidRPr="007E6FE8">
          <w:rPr>
            <w:rStyle w:val="Hipervnculo"/>
            <w:rFonts w:asciiTheme="minorHAnsi" w:hAnsiTheme="minorHAnsi" w:cstheme="minorHAnsi"/>
            <w:highlight w:val="green"/>
          </w:rPr>
          <w:t>https://siis.ia.supersociedades.gov.co/#/massivereports</w:t>
        </w:r>
      </w:hyperlink>
      <w:r w:rsidRPr="007E6FE8">
        <w:rPr>
          <w:rFonts w:asciiTheme="minorHAnsi" w:hAnsiTheme="minorHAnsi" w:cstheme="minorHAnsi"/>
          <w:highlight w:val="green"/>
        </w:rPr>
        <w:t xml:space="preserve"> , del cual se puede obtener los Estados Financieros a corte del 31 de diciembre de 2022, de las empresas que reportan la información a dicha entidad, la cual se clasifica en 4 tipos de reportes:</w:t>
      </w:r>
    </w:p>
    <w:p w14:paraId="240B978C" w14:textId="77777777" w:rsidR="009F2B88" w:rsidRPr="007E6FE8" w:rsidRDefault="009F2B88" w:rsidP="009F2B88">
      <w:pPr>
        <w:jc w:val="both"/>
        <w:rPr>
          <w:rFonts w:asciiTheme="minorHAnsi" w:hAnsiTheme="minorHAnsi" w:cstheme="minorHAnsi"/>
          <w:highlight w:val="green"/>
        </w:rPr>
      </w:pPr>
    </w:p>
    <w:p w14:paraId="6BC1ADF9"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a. NIIF Plenas Individuales: Serán preparados solo para entidades que no tienen relación de inversión con otras organizaciones en la cuales tenga la condición de asociada, negocio conjunto o controladora. </w:t>
      </w:r>
    </w:p>
    <w:p w14:paraId="003C1AAE"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b. NIIF Plenas Separadas: Pueden elaborarse por parte de las empresas o entidades obligadas a consolidar. habrá que presentar Estados Financieros separados para poder conciliar con la declaración de renta. </w:t>
      </w:r>
    </w:p>
    <w:p w14:paraId="1CD82402"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c. NIIF pymes individuales y </w:t>
      </w:r>
    </w:p>
    <w:p w14:paraId="2AEA2D4E"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d. NIIF Pymes Separadas: Se comportan igual que las plenas, pero hace referencia a las pequeñas y medianas empresas.</w:t>
      </w:r>
    </w:p>
    <w:p w14:paraId="73E6DC48" w14:textId="77777777" w:rsidR="004A0A86" w:rsidRPr="007E6FE8" w:rsidRDefault="004A0A86" w:rsidP="009F2B88">
      <w:pPr>
        <w:ind w:left="708"/>
        <w:jc w:val="both"/>
        <w:rPr>
          <w:rFonts w:asciiTheme="minorHAnsi" w:hAnsiTheme="minorHAnsi" w:cstheme="minorHAnsi"/>
          <w:highlight w:val="green"/>
        </w:rPr>
      </w:pPr>
    </w:p>
    <w:p w14:paraId="74D8E39F"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Una vez descargada y consolidada la información, se filtraron los datos </w:t>
      </w:r>
      <w:proofErr w:type="gramStart"/>
      <w:r w:rsidRPr="007E6FE8">
        <w:rPr>
          <w:rFonts w:asciiTheme="minorHAnsi" w:hAnsiTheme="minorHAnsi" w:cstheme="minorHAnsi"/>
          <w:highlight w:val="green"/>
        </w:rPr>
        <w:t>de acuerdo al</w:t>
      </w:r>
      <w:proofErr w:type="gramEnd"/>
      <w:r w:rsidRPr="007E6FE8">
        <w:rPr>
          <w:rFonts w:asciiTheme="minorHAnsi" w:hAnsiTheme="minorHAnsi" w:cstheme="minorHAnsi"/>
          <w:highlight w:val="green"/>
        </w:rPr>
        <w:t xml:space="preserve"> Código de Clasificación Industrial Internacional Uniforme - CIIU que contenía información relacionada con actividades de agencias de viaje de tal manera que los códigos sujetos a análisis son: </w:t>
      </w:r>
    </w:p>
    <w:p w14:paraId="0FB475CF" w14:textId="77777777" w:rsidR="004A0A86" w:rsidRPr="007E6FE8" w:rsidRDefault="004A0A86" w:rsidP="009F2B88">
      <w:pPr>
        <w:jc w:val="both"/>
        <w:rPr>
          <w:rFonts w:asciiTheme="minorHAnsi" w:hAnsiTheme="minorHAnsi" w:cstheme="minorHAnsi"/>
          <w:highlight w:val="green"/>
        </w:rPr>
      </w:pPr>
    </w:p>
    <w:p w14:paraId="3FA1463E"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K6621 - Actividades de agentes y corredores de seguros De otra parte, para este análisis solo se tuvo en cuenta las empresas que estaban reportadas con estado actual “ACTIVA”. De esta manera se logró establecer una participación de 13 empresas sobre los cuales se realizará el análisis de los indicadores presentados en el presente estudio.</w:t>
      </w:r>
    </w:p>
    <w:p w14:paraId="53971A6E" w14:textId="77777777" w:rsidR="004A0A86" w:rsidRPr="007E6FE8" w:rsidRDefault="004A0A86" w:rsidP="009F2B88">
      <w:pPr>
        <w:ind w:left="708"/>
        <w:jc w:val="both"/>
        <w:rPr>
          <w:rFonts w:asciiTheme="minorHAnsi" w:hAnsiTheme="minorHAnsi" w:cstheme="minorHAnsi"/>
          <w:highlight w:val="green"/>
        </w:rPr>
      </w:pPr>
    </w:p>
    <w:p w14:paraId="29109F8D"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Marco conceptual La Entidad establece los indicadores de capacidad financiera y organizacional de conformidad al numeral 4, artículo 2.2.1.1.1.5.3. Requisitos habilitantes contenidos en el Decreto 1082 de 2015, los cuales son:</w:t>
      </w:r>
    </w:p>
    <w:p w14:paraId="66214B50" w14:textId="77777777" w:rsidR="004A0A86" w:rsidRPr="007E6FE8" w:rsidRDefault="004A0A86" w:rsidP="009F2B88">
      <w:pPr>
        <w:ind w:left="708"/>
        <w:jc w:val="both"/>
        <w:rPr>
          <w:rFonts w:asciiTheme="minorHAnsi" w:hAnsiTheme="minorHAnsi" w:cstheme="minorHAnsi"/>
          <w:highlight w:val="green"/>
        </w:rPr>
      </w:pPr>
    </w:p>
    <w:p w14:paraId="7DC5B4B1"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Índices de Capacidad Financiera: Son instrumentos que permite medir la capacidad que se tiene para poder llevar a cabo inversiones o pagos en un determinado periodo de tiempo, con el fin de lograr los objetivos establecidos. Esto determinará el desarrollo y crecimiento, además de asegurar liquidez y margen en las diferentes operaciones. </w:t>
      </w:r>
    </w:p>
    <w:p w14:paraId="61391A03" w14:textId="77777777" w:rsidR="004A0A86" w:rsidRPr="007E6FE8" w:rsidRDefault="004A0A86" w:rsidP="009F2B88">
      <w:pPr>
        <w:ind w:left="708"/>
        <w:jc w:val="both"/>
        <w:rPr>
          <w:rFonts w:asciiTheme="minorHAnsi" w:hAnsiTheme="minorHAnsi" w:cstheme="minorHAnsi"/>
          <w:highlight w:val="green"/>
        </w:rPr>
      </w:pPr>
    </w:p>
    <w:p w14:paraId="24B1EDA7" w14:textId="1D7C2702" w:rsidR="009F2B88" w:rsidRPr="007E6FE8" w:rsidRDefault="009F2B88" w:rsidP="004A0A86">
      <w:pPr>
        <w:pStyle w:val="Prrafodelista"/>
        <w:numPr>
          <w:ilvl w:val="0"/>
          <w:numId w:val="16"/>
        </w:numPr>
        <w:jc w:val="both"/>
        <w:rPr>
          <w:rFonts w:asciiTheme="minorHAnsi" w:hAnsiTheme="minorHAnsi" w:cstheme="minorHAnsi"/>
          <w:highlight w:val="green"/>
        </w:rPr>
      </w:pPr>
      <w:r w:rsidRPr="007E6FE8">
        <w:rPr>
          <w:rFonts w:asciiTheme="minorHAnsi" w:hAnsiTheme="minorHAnsi" w:cstheme="minorHAnsi"/>
          <w:highlight w:val="green"/>
        </w:rPr>
        <w:t xml:space="preserve">Índice de Liquidez: </w:t>
      </w:r>
      <w:r w:rsidRPr="007E6FE8">
        <w:rPr>
          <w:rFonts w:ascii="Cambria Math" w:hAnsi="Cambria Math" w:cs="Cambria Math"/>
          <w:highlight w:val="green"/>
        </w:rPr>
        <w:t>𝐿𝑖𝑞𝑢𝑖𝑑𝑒𝑧</w:t>
      </w:r>
      <w:r w:rsidRPr="007E6FE8">
        <w:rPr>
          <w:rFonts w:asciiTheme="minorHAnsi" w:hAnsiTheme="minorHAnsi" w:cstheme="minorHAnsi"/>
          <w:highlight w:val="green"/>
        </w:rPr>
        <w:t xml:space="preserve"> = </w:t>
      </w:r>
      <w:r w:rsidRPr="007E6FE8">
        <w:rPr>
          <w:rFonts w:ascii="Cambria Math" w:hAnsi="Cambria Math" w:cs="Cambria Math"/>
          <w:highlight w:val="green"/>
        </w:rPr>
        <w:t>𝐴𝑐𝑡𝑖𝑣𝑜</w:t>
      </w:r>
      <w:r w:rsidRPr="007E6FE8">
        <w:rPr>
          <w:rFonts w:asciiTheme="minorHAnsi" w:hAnsiTheme="minorHAnsi" w:cstheme="minorHAnsi"/>
          <w:highlight w:val="green"/>
        </w:rPr>
        <w:t xml:space="preserve"> </w:t>
      </w:r>
      <w:r w:rsidRPr="007E6FE8">
        <w:rPr>
          <w:rFonts w:ascii="Cambria Math" w:hAnsi="Cambria Math" w:cs="Cambria Math"/>
          <w:highlight w:val="green"/>
        </w:rPr>
        <w:t>𝑐𝑜𝑟𝑟𝑖𝑒𝑛𝑡𝑒</w:t>
      </w:r>
      <w:r w:rsidRPr="007E6FE8">
        <w:rPr>
          <w:rFonts w:asciiTheme="minorHAnsi" w:hAnsiTheme="minorHAnsi" w:cstheme="minorHAnsi"/>
          <w:highlight w:val="green"/>
        </w:rPr>
        <w:t xml:space="preserve"> </w:t>
      </w:r>
      <w:r w:rsidRPr="007E6FE8">
        <w:rPr>
          <w:rFonts w:ascii="Cambria Math" w:hAnsi="Cambria Math" w:cs="Cambria Math"/>
          <w:highlight w:val="green"/>
        </w:rPr>
        <w:t>𝑃𝑎𝑠𝑖𝑣𝑜</w:t>
      </w:r>
      <w:r w:rsidRPr="007E6FE8">
        <w:rPr>
          <w:rFonts w:asciiTheme="minorHAnsi" w:hAnsiTheme="minorHAnsi" w:cstheme="minorHAnsi"/>
          <w:highlight w:val="green"/>
        </w:rPr>
        <w:t xml:space="preserve"> </w:t>
      </w:r>
      <w:r w:rsidRPr="007E6FE8">
        <w:rPr>
          <w:rFonts w:ascii="Cambria Math" w:hAnsi="Cambria Math" w:cs="Cambria Math"/>
          <w:highlight w:val="green"/>
        </w:rPr>
        <w:t>𝐶𝑜𝑟𝑟𝑖𝑒𝑛𝑡𝑒</w:t>
      </w:r>
      <w:r w:rsidRPr="007E6FE8">
        <w:rPr>
          <w:rFonts w:asciiTheme="minorHAnsi" w:hAnsiTheme="minorHAnsi" w:cstheme="minorHAnsi"/>
          <w:highlight w:val="green"/>
        </w:rPr>
        <w:t xml:space="preserve"> Mide la capacidad que se tiene para cumplir con sus obligaciones de corto plazo. A mayor índice de liquidez, menor es la probabilidad de incumplir las obligaciones de corto plazo.</w:t>
      </w:r>
    </w:p>
    <w:p w14:paraId="501A56AE" w14:textId="77777777" w:rsidR="004A0A86" w:rsidRPr="007E6FE8" w:rsidRDefault="004A0A86" w:rsidP="004A0A86">
      <w:pPr>
        <w:pStyle w:val="Prrafodelista"/>
        <w:ind w:left="1068" w:firstLine="0"/>
        <w:jc w:val="both"/>
        <w:rPr>
          <w:rFonts w:asciiTheme="minorHAnsi" w:hAnsiTheme="minorHAnsi" w:cstheme="minorHAnsi"/>
          <w:highlight w:val="green"/>
        </w:rPr>
      </w:pPr>
    </w:p>
    <w:p w14:paraId="58F6E32D"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b. Índice de Endeudamiento: </w:t>
      </w:r>
      <w:r w:rsidRPr="007E6FE8">
        <w:rPr>
          <w:rFonts w:ascii="Cambria Math" w:hAnsi="Cambria Math" w:cs="Cambria Math"/>
          <w:highlight w:val="green"/>
        </w:rPr>
        <w:t>𝐸𝑛𝑑𝑒𝑢𝑑𝑎𝑚𝑒𝑛𝑡𝑜</w:t>
      </w:r>
      <w:r w:rsidRPr="007E6FE8">
        <w:rPr>
          <w:rFonts w:asciiTheme="minorHAnsi" w:hAnsiTheme="minorHAnsi" w:cstheme="minorHAnsi"/>
          <w:highlight w:val="green"/>
        </w:rPr>
        <w:t xml:space="preserve"> = </w:t>
      </w:r>
      <w:r w:rsidRPr="007E6FE8">
        <w:rPr>
          <w:rFonts w:ascii="Cambria Math" w:hAnsi="Cambria Math" w:cs="Cambria Math"/>
          <w:highlight w:val="green"/>
        </w:rPr>
        <w:t>𝑃𝑎𝑠𝑖𝑣𝑜</w:t>
      </w:r>
      <w:r w:rsidRPr="007E6FE8">
        <w:rPr>
          <w:rFonts w:asciiTheme="minorHAnsi" w:hAnsiTheme="minorHAnsi" w:cstheme="minorHAnsi"/>
          <w:highlight w:val="green"/>
        </w:rPr>
        <w:t xml:space="preserve"> </w:t>
      </w:r>
      <w:r w:rsidRPr="007E6FE8">
        <w:rPr>
          <w:rFonts w:ascii="Cambria Math" w:hAnsi="Cambria Math" w:cs="Cambria Math"/>
          <w:highlight w:val="green"/>
        </w:rPr>
        <w:t>𝑇𝑜𝑡𝑎𝑙</w:t>
      </w:r>
      <w:r w:rsidRPr="007E6FE8">
        <w:rPr>
          <w:rFonts w:asciiTheme="minorHAnsi" w:hAnsiTheme="minorHAnsi" w:cstheme="minorHAnsi"/>
          <w:highlight w:val="green"/>
        </w:rPr>
        <w:t xml:space="preserve"> </w:t>
      </w:r>
      <w:r w:rsidRPr="007E6FE8">
        <w:rPr>
          <w:rFonts w:ascii="Cambria Math" w:hAnsi="Cambria Math" w:cs="Cambria Math"/>
          <w:highlight w:val="green"/>
        </w:rPr>
        <w:t>𝐴𝑐𝑡𝑖𝑣𝑜</w:t>
      </w:r>
      <w:r w:rsidRPr="007E6FE8">
        <w:rPr>
          <w:rFonts w:asciiTheme="minorHAnsi" w:hAnsiTheme="minorHAnsi" w:cstheme="minorHAnsi"/>
          <w:highlight w:val="green"/>
        </w:rPr>
        <w:t xml:space="preserve"> </w:t>
      </w:r>
      <w:r w:rsidRPr="007E6FE8">
        <w:rPr>
          <w:rFonts w:ascii="Cambria Math" w:hAnsi="Cambria Math" w:cs="Cambria Math"/>
          <w:highlight w:val="green"/>
        </w:rPr>
        <w:t>𝑇𝑜𝑡𝑎𝑙</w:t>
      </w:r>
      <w:r w:rsidRPr="007E6FE8">
        <w:rPr>
          <w:rFonts w:asciiTheme="minorHAnsi" w:hAnsiTheme="minorHAnsi" w:cstheme="minorHAnsi"/>
          <w:highlight w:val="green"/>
        </w:rPr>
        <w:t xml:space="preserve"> Mide la proporción de los activos que están financiados por terceros. Entre más grande sea el índice implica que mayor parte de los activos están siendo financiados de forma externa, por lo cual es mayor la probabilidad de no poder cumplir con sus pasivos. </w:t>
      </w:r>
    </w:p>
    <w:p w14:paraId="12762871"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c. Razón de Cobertura de intereses </w:t>
      </w:r>
      <w:r w:rsidRPr="007E6FE8">
        <w:rPr>
          <w:rFonts w:ascii="Cambria Math" w:hAnsi="Cambria Math" w:cs="Cambria Math"/>
          <w:highlight w:val="green"/>
        </w:rPr>
        <w:t>𝑅𝑎𝑧</w:t>
      </w:r>
      <w:proofErr w:type="spellStart"/>
      <w:r w:rsidRPr="007E6FE8">
        <w:rPr>
          <w:rFonts w:asciiTheme="minorHAnsi" w:hAnsiTheme="minorHAnsi" w:cstheme="minorHAnsi"/>
          <w:highlight w:val="green"/>
        </w:rPr>
        <w:t>ó</w:t>
      </w:r>
      <w:proofErr w:type="spellEnd"/>
      <w:r w:rsidRPr="007E6FE8">
        <w:rPr>
          <w:rFonts w:ascii="Cambria Math" w:hAnsi="Cambria Math" w:cs="Cambria Math"/>
          <w:highlight w:val="green"/>
        </w:rPr>
        <w:t>𝑛</w:t>
      </w:r>
      <w:r w:rsidRPr="007E6FE8">
        <w:rPr>
          <w:rFonts w:asciiTheme="minorHAnsi" w:hAnsiTheme="minorHAnsi" w:cstheme="minorHAnsi"/>
          <w:highlight w:val="green"/>
        </w:rPr>
        <w:t xml:space="preserve"> </w:t>
      </w:r>
      <w:r w:rsidRPr="007E6FE8">
        <w:rPr>
          <w:rFonts w:ascii="Cambria Math" w:hAnsi="Cambria Math" w:cs="Cambria Math"/>
          <w:highlight w:val="green"/>
        </w:rPr>
        <w:t>𝑑𝑒</w:t>
      </w:r>
      <w:r w:rsidRPr="007E6FE8">
        <w:rPr>
          <w:rFonts w:asciiTheme="minorHAnsi" w:hAnsiTheme="minorHAnsi" w:cstheme="minorHAnsi"/>
          <w:highlight w:val="green"/>
        </w:rPr>
        <w:t xml:space="preserve"> </w:t>
      </w:r>
      <w:r w:rsidRPr="007E6FE8">
        <w:rPr>
          <w:rFonts w:ascii="Cambria Math" w:hAnsi="Cambria Math" w:cs="Cambria Math"/>
          <w:highlight w:val="green"/>
        </w:rPr>
        <w:t>𝐶𝑜𝑏𝑒𝑟𝑡𝑢𝑟𝑎</w:t>
      </w:r>
      <w:r w:rsidRPr="007E6FE8">
        <w:rPr>
          <w:rFonts w:asciiTheme="minorHAnsi" w:hAnsiTheme="minorHAnsi" w:cstheme="minorHAnsi"/>
          <w:highlight w:val="green"/>
        </w:rPr>
        <w:t xml:space="preserve"> </w:t>
      </w:r>
      <w:r w:rsidRPr="007E6FE8">
        <w:rPr>
          <w:rFonts w:ascii="Cambria Math" w:hAnsi="Cambria Math" w:cs="Cambria Math"/>
          <w:highlight w:val="green"/>
        </w:rPr>
        <w:t>𝑑𝑒</w:t>
      </w:r>
      <w:r w:rsidRPr="007E6FE8">
        <w:rPr>
          <w:rFonts w:asciiTheme="minorHAnsi" w:hAnsiTheme="minorHAnsi" w:cstheme="minorHAnsi"/>
          <w:highlight w:val="green"/>
        </w:rPr>
        <w:t xml:space="preserve"> </w:t>
      </w:r>
      <w:r w:rsidRPr="007E6FE8">
        <w:rPr>
          <w:rFonts w:ascii="Cambria Math" w:hAnsi="Cambria Math" w:cs="Cambria Math"/>
          <w:highlight w:val="green"/>
        </w:rPr>
        <w:t>𝑖𝑛𝑡𝑒𝑟𝑒𝑠𝑒𝑠</w:t>
      </w:r>
      <w:r w:rsidRPr="007E6FE8">
        <w:rPr>
          <w:rFonts w:asciiTheme="minorHAnsi" w:hAnsiTheme="minorHAnsi" w:cstheme="minorHAnsi"/>
          <w:highlight w:val="green"/>
        </w:rPr>
        <w:t xml:space="preserve"> = </w:t>
      </w:r>
      <w:r w:rsidRPr="007E6FE8">
        <w:rPr>
          <w:rFonts w:ascii="Cambria Math" w:hAnsi="Cambria Math" w:cs="Cambria Math"/>
          <w:highlight w:val="green"/>
        </w:rPr>
        <w:t>𝑈𝑡𝑖𝑙𝑖𝑑𝑎𝑑</w:t>
      </w:r>
      <w:r w:rsidRPr="007E6FE8">
        <w:rPr>
          <w:rFonts w:asciiTheme="minorHAnsi" w:hAnsiTheme="minorHAnsi" w:cstheme="minorHAnsi"/>
          <w:highlight w:val="green"/>
        </w:rPr>
        <w:t xml:space="preserve"> </w:t>
      </w:r>
      <w:r w:rsidRPr="007E6FE8">
        <w:rPr>
          <w:rFonts w:ascii="Cambria Math" w:hAnsi="Cambria Math" w:cs="Cambria Math"/>
          <w:highlight w:val="green"/>
        </w:rPr>
        <w:t>𝑂𝑝𝑒𝑟𝑎𝑐𝑖𝑜𝑛𝑎𝑙</w:t>
      </w:r>
      <w:r w:rsidRPr="007E6FE8">
        <w:rPr>
          <w:rFonts w:asciiTheme="minorHAnsi" w:hAnsiTheme="minorHAnsi" w:cstheme="minorHAnsi"/>
          <w:highlight w:val="green"/>
        </w:rPr>
        <w:t xml:space="preserve"> </w:t>
      </w:r>
      <w:r w:rsidRPr="007E6FE8">
        <w:rPr>
          <w:rFonts w:ascii="Cambria Math" w:hAnsi="Cambria Math" w:cs="Cambria Math"/>
          <w:highlight w:val="green"/>
        </w:rPr>
        <w:t>𝐺𝑎𝑠𝑡𝑜𝑠</w:t>
      </w:r>
      <w:r w:rsidRPr="007E6FE8">
        <w:rPr>
          <w:rFonts w:asciiTheme="minorHAnsi" w:hAnsiTheme="minorHAnsi" w:cstheme="minorHAnsi"/>
          <w:highlight w:val="green"/>
        </w:rPr>
        <w:t xml:space="preserve"> </w:t>
      </w:r>
      <w:r w:rsidRPr="007E6FE8">
        <w:rPr>
          <w:rFonts w:ascii="Cambria Math" w:hAnsi="Cambria Math" w:cs="Cambria Math"/>
          <w:highlight w:val="green"/>
        </w:rPr>
        <w:t>𝑑𝑒</w:t>
      </w:r>
      <w:r w:rsidRPr="007E6FE8">
        <w:rPr>
          <w:rFonts w:asciiTheme="minorHAnsi" w:hAnsiTheme="minorHAnsi" w:cstheme="minorHAnsi"/>
          <w:highlight w:val="green"/>
        </w:rPr>
        <w:t xml:space="preserve"> </w:t>
      </w:r>
      <w:r w:rsidRPr="007E6FE8">
        <w:rPr>
          <w:rFonts w:ascii="Cambria Math" w:hAnsi="Cambria Math" w:cs="Cambria Math"/>
          <w:highlight w:val="green"/>
        </w:rPr>
        <w:t>𝐼𝑛𝑡𝑒𝑟𝑒𝑠𝑒𝑠</w:t>
      </w:r>
      <w:r w:rsidRPr="007E6FE8">
        <w:rPr>
          <w:rFonts w:asciiTheme="minorHAnsi" w:hAnsiTheme="minorHAnsi" w:cstheme="minorHAnsi"/>
          <w:highlight w:val="green"/>
        </w:rPr>
        <w:t xml:space="preserve"> Mide la capacidad de la empresa para cubrir sus gastos en intereses, los cuales pueden comprometer la salud financiera de la empresa. A mayor cobertura de intereses, menor es la probabilidad incumplir las </w:t>
      </w:r>
      <w:r w:rsidRPr="007E6FE8">
        <w:rPr>
          <w:rFonts w:asciiTheme="minorHAnsi" w:hAnsiTheme="minorHAnsi" w:cstheme="minorHAnsi"/>
          <w:highlight w:val="green"/>
        </w:rPr>
        <w:lastRenderedPageBreak/>
        <w:t>obligaciones financieras.</w:t>
      </w:r>
    </w:p>
    <w:p w14:paraId="6E4EEA5C" w14:textId="77777777" w:rsidR="004A0A86" w:rsidRPr="007E6FE8" w:rsidRDefault="004A0A86" w:rsidP="009F2B88">
      <w:pPr>
        <w:ind w:left="708"/>
        <w:jc w:val="both"/>
        <w:rPr>
          <w:rFonts w:asciiTheme="minorHAnsi" w:hAnsiTheme="minorHAnsi" w:cstheme="minorHAnsi"/>
          <w:highlight w:val="green"/>
        </w:rPr>
      </w:pPr>
    </w:p>
    <w:p w14:paraId="59FA2A86"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d. Capital de Trabajo: </w:t>
      </w:r>
      <w:r w:rsidRPr="007E6FE8">
        <w:rPr>
          <w:rFonts w:ascii="Cambria Math" w:hAnsi="Cambria Math" w:cs="Cambria Math"/>
          <w:highlight w:val="green"/>
        </w:rPr>
        <w:t>𝐶𝑎𝑝𝑖𝑡𝑎𝑙</w:t>
      </w:r>
      <w:r w:rsidRPr="007E6FE8">
        <w:rPr>
          <w:rFonts w:asciiTheme="minorHAnsi" w:hAnsiTheme="minorHAnsi" w:cstheme="minorHAnsi"/>
          <w:highlight w:val="green"/>
        </w:rPr>
        <w:t xml:space="preserve"> </w:t>
      </w:r>
      <w:r w:rsidRPr="007E6FE8">
        <w:rPr>
          <w:rFonts w:ascii="Cambria Math" w:hAnsi="Cambria Math" w:cs="Cambria Math"/>
          <w:highlight w:val="green"/>
        </w:rPr>
        <w:t>𝑛𝑒𝑡𝑜</w:t>
      </w:r>
      <w:r w:rsidRPr="007E6FE8">
        <w:rPr>
          <w:rFonts w:asciiTheme="minorHAnsi" w:hAnsiTheme="minorHAnsi" w:cstheme="minorHAnsi"/>
          <w:highlight w:val="green"/>
        </w:rPr>
        <w:t xml:space="preserve"> </w:t>
      </w:r>
      <w:r w:rsidRPr="007E6FE8">
        <w:rPr>
          <w:rFonts w:ascii="Cambria Math" w:hAnsi="Cambria Math" w:cs="Cambria Math"/>
          <w:highlight w:val="green"/>
        </w:rPr>
        <w:t>𝑑𝑒</w:t>
      </w:r>
      <w:r w:rsidRPr="007E6FE8">
        <w:rPr>
          <w:rFonts w:asciiTheme="minorHAnsi" w:hAnsiTheme="minorHAnsi" w:cstheme="minorHAnsi"/>
          <w:highlight w:val="green"/>
        </w:rPr>
        <w:t xml:space="preserve"> </w:t>
      </w:r>
      <w:r w:rsidRPr="007E6FE8">
        <w:rPr>
          <w:rFonts w:ascii="Cambria Math" w:hAnsi="Cambria Math" w:cs="Cambria Math"/>
          <w:highlight w:val="green"/>
        </w:rPr>
        <w:t>𝑡𝑟𝑎𝑏𝑎𝑗𝑜</w:t>
      </w:r>
      <w:r w:rsidRPr="007E6FE8">
        <w:rPr>
          <w:rFonts w:asciiTheme="minorHAnsi" w:hAnsiTheme="minorHAnsi" w:cstheme="minorHAnsi"/>
          <w:highlight w:val="green"/>
        </w:rPr>
        <w:t xml:space="preserve"> = </w:t>
      </w:r>
      <w:r w:rsidRPr="007E6FE8">
        <w:rPr>
          <w:rFonts w:ascii="Cambria Math" w:hAnsi="Cambria Math" w:cs="Cambria Math"/>
          <w:highlight w:val="green"/>
        </w:rPr>
        <w:t>𝐴𝑐𝑡𝑖𝑣𝑜</w:t>
      </w:r>
      <w:r w:rsidRPr="007E6FE8">
        <w:rPr>
          <w:rFonts w:asciiTheme="minorHAnsi" w:hAnsiTheme="minorHAnsi" w:cstheme="minorHAnsi"/>
          <w:highlight w:val="green"/>
        </w:rPr>
        <w:t xml:space="preserve"> </w:t>
      </w:r>
      <w:r w:rsidRPr="007E6FE8">
        <w:rPr>
          <w:rFonts w:ascii="Cambria Math" w:hAnsi="Cambria Math" w:cs="Cambria Math"/>
          <w:highlight w:val="green"/>
        </w:rPr>
        <w:t>𝑐𝑜𝑟𝑟𝑖𝑒𝑛𝑡𝑒</w:t>
      </w:r>
      <w:r w:rsidRPr="007E6FE8">
        <w:rPr>
          <w:rFonts w:asciiTheme="minorHAnsi" w:hAnsiTheme="minorHAnsi" w:cstheme="minorHAnsi"/>
          <w:highlight w:val="green"/>
        </w:rPr>
        <w:t xml:space="preserve"> − </w:t>
      </w:r>
      <w:r w:rsidRPr="007E6FE8">
        <w:rPr>
          <w:rFonts w:ascii="Cambria Math" w:hAnsi="Cambria Math" w:cs="Cambria Math"/>
          <w:highlight w:val="green"/>
        </w:rPr>
        <w:t>𝑃𝑎𝑠𝑖𝑣𝑜</w:t>
      </w:r>
      <w:r w:rsidRPr="007E6FE8">
        <w:rPr>
          <w:rFonts w:asciiTheme="minorHAnsi" w:hAnsiTheme="minorHAnsi" w:cstheme="minorHAnsi"/>
          <w:highlight w:val="green"/>
        </w:rPr>
        <w:t xml:space="preserve"> </w:t>
      </w:r>
      <w:r w:rsidRPr="007E6FE8">
        <w:rPr>
          <w:rFonts w:ascii="Cambria Math" w:hAnsi="Cambria Math" w:cs="Cambria Math"/>
          <w:highlight w:val="green"/>
        </w:rPr>
        <w:t>𝑐𝑜𝑟𝑟𝑖𝑒𝑛𝑡𝑒</w:t>
      </w:r>
      <w:r w:rsidRPr="007E6FE8">
        <w:rPr>
          <w:rFonts w:asciiTheme="minorHAnsi" w:hAnsiTheme="minorHAnsi" w:cstheme="minorHAnsi"/>
          <w:highlight w:val="green"/>
        </w:rPr>
        <w:t xml:space="preserve"> El capital de trabajo representa la liquidez operativa del proponente, es decir el remanente del proponente luego de liquidar sus activos corrientes (convertirlos en efectivo) y pagar el pasivo de corto plazo. Un capital de trabajo positivo contribuye con el desarrollo eficiente de la actividad económica del proponente.</w:t>
      </w:r>
    </w:p>
    <w:p w14:paraId="6322A2CC" w14:textId="77777777" w:rsidR="004A0A86" w:rsidRPr="007E6FE8" w:rsidRDefault="004A0A86" w:rsidP="009F2B88">
      <w:pPr>
        <w:ind w:left="708"/>
        <w:jc w:val="both"/>
        <w:rPr>
          <w:rFonts w:asciiTheme="minorHAnsi" w:hAnsiTheme="minorHAnsi" w:cstheme="minorHAnsi"/>
          <w:highlight w:val="green"/>
        </w:rPr>
      </w:pPr>
    </w:p>
    <w:p w14:paraId="6D3E4EB6"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Índices de Capacidad Organizacional: Son instrumentos que permiten establecer la capacidad de gestión de las Organizaciones en el desarrollo de un programa o proyecto.</w:t>
      </w:r>
    </w:p>
    <w:p w14:paraId="0A5E9BE0" w14:textId="53668CF9" w:rsidR="009F2B88" w:rsidRPr="007E6FE8" w:rsidRDefault="009F2B88" w:rsidP="004A0A86">
      <w:pPr>
        <w:pStyle w:val="Prrafodelista"/>
        <w:numPr>
          <w:ilvl w:val="0"/>
          <w:numId w:val="17"/>
        </w:numPr>
        <w:jc w:val="both"/>
        <w:rPr>
          <w:rFonts w:asciiTheme="minorHAnsi" w:hAnsiTheme="minorHAnsi" w:cstheme="minorHAnsi"/>
          <w:highlight w:val="green"/>
        </w:rPr>
      </w:pPr>
      <w:r w:rsidRPr="007E6FE8">
        <w:rPr>
          <w:rFonts w:asciiTheme="minorHAnsi" w:hAnsiTheme="minorHAnsi" w:cstheme="minorHAnsi"/>
          <w:highlight w:val="green"/>
        </w:rPr>
        <w:t xml:space="preserve">Rentabilidad sobre el Patrimonio </w:t>
      </w:r>
      <w:r w:rsidRPr="007E6FE8">
        <w:rPr>
          <w:rFonts w:ascii="Cambria Math" w:hAnsi="Cambria Math" w:cs="Cambria Math"/>
          <w:highlight w:val="green"/>
        </w:rPr>
        <w:t>𝑅𝑂𝐸</w:t>
      </w:r>
      <w:r w:rsidRPr="007E6FE8">
        <w:rPr>
          <w:rFonts w:asciiTheme="minorHAnsi" w:hAnsiTheme="minorHAnsi" w:cstheme="minorHAnsi"/>
          <w:highlight w:val="green"/>
        </w:rPr>
        <w:t xml:space="preserve"> = </w:t>
      </w:r>
      <w:r w:rsidRPr="007E6FE8">
        <w:rPr>
          <w:rFonts w:ascii="Cambria Math" w:hAnsi="Cambria Math" w:cs="Cambria Math"/>
          <w:highlight w:val="green"/>
        </w:rPr>
        <w:t>𝑈𝑡𝑖𝑙𝑖𝑑𝑎𝑑</w:t>
      </w:r>
      <w:r w:rsidRPr="007E6FE8">
        <w:rPr>
          <w:rFonts w:asciiTheme="minorHAnsi" w:hAnsiTheme="minorHAnsi" w:cstheme="minorHAnsi"/>
          <w:highlight w:val="green"/>
        </w:rPr>
        <w:t xml:space="preserve"> </w:t>
      </w:r>
      <w:r w:rsidRPr="007E6FE8">
        <w:rPr>
          <w:rFonts w:ascii="Cambria Math" w:hAnsi="Cambria Math" w:cs="Cambria Math"/>
          <w:highlight w:val="green"/>
        </w:rPr>
        <w:t>𝑂𝑝𝑒𝑟𝑎𝑐𝑖𝑜𝑛𝑎𝑙</w:t>
      </w:r>
      <w:r w:rsidRPr="007E6FE8">
        <w:rPr>
          <w:rFonts w:asciiTheme="minorHAnsi" w:hAnsiTheme="minorHAnsi" w:cstheme="minorHAnsi"/>
          <w:highlight w:val="green"/>
        </w:rPr>
        <w:t xml:space="preserve"> </w:t>
      </w:r>
      <w:r w:rsidRPr="007E6FE8">
        <w:rPr>
          <w:rFonts w:ascii="Cambria Math" w:hAnsi="Cambria Math" w:cs="Cambria Math"/>
          <w:highlight w:val="green"/>
        </w:rPr>
        <w:t>𝑃𝑎𝑡𝑟𝑖𝑚𝑜𝑛𝑖𝑜</w:t>
      </w:r>
      <w:r w:rsidRPr="007E6FE8">
        <w:rPr>
          <w:rFonts w:asciiTheme="minorHAnsi" w:hAnsiTheme="minorHAnsi" w:cstheme="minorHAnsi"/>
          <w:highlight w:val="green"/>
        </w:rPr>
        <w:t xml:space="preserve"> Mide la Rentabilidad financiera obtenida por la empresa sobre sus fondos propios, es decir, la capacidad de generación de utilidad operacional por cada peso invertido en el patrimonio.</w:t>
      </w:r>
    </w:p>
    <w:p w14:paraId="34FFC648" w14:textId="77777777" w:rsidR="004A0A86" w:rsidRPr="007E6FE8" w:rsidRDefault="004A0A86" w:rsidP="004A0A86">
      <w:pPr>
        <w:pStyle w:val="Prrafodelista"/>
        <w:ind w:left="1068" w:firstLine="0"/>
        <w:jc w:val="both"/>
        <w:rPr>
          <w:rFonts w:asciiTheme="minorHAnsi" w:hAnsiTheme="minorHAnsi" w:cstheme="minorHAnsi"/>
          <w:highlight w:val="green"/>
        </w:rPr>
      </w:pPr>
    </w:p>
    <w:p w14:paraId="6A8E884F"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A mayor rentabilidad sobre el patrimonio, mayor es la rentabilidad de los accionistas y mejor la capacidad organizacional. </w:t>
      </w:r>
    </w:p>
    <w:p w14:paraId="658556FD" w14:textId="77777777" w:rsidR="000B65D2" w:rsidRPr="007E6FE8" w:rsidRDefault="000B65D2" w:rsidP="009F2B88">
      <w:pPr>
        <w:ind w:left="708"/>
        <w:jc w:val="both"/>
        <w:rPr>
          <w:rFonts w:asciiTheme="minorHAnsi" w:hAnsiTheme="minorHAnsi" w:cstheme="minorHAnsi"/>
          <w:highlight w:val="green"/>
        </w:rPr>
      </w:pPr>
    </w:p>
    <w:p w14:paraId="791037C8"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b. Rentabilidad sobre Activos </w:t>
      </w:r>
      <w:r w:rsidRPr="007E6FE8">
        <w:rPr>
          <w:rFonts w:ascii="Cambria Math" w:hAnsi="Cambria Math" w:cs="Cambria Math"/>
          <w:highlight w:val="green"/>
        </w:rPr>
        <w:t>𝑅𝑂𝐴</w:t>
      </w:r>
      <w:r w:rsidRPr="007E6FE8">
        <w:rPr>
          <w:rFonts w:asciiTheme="minorHAnsi" w:hAnsiTheme="minorHAnsi" w:cstheme="minorHAnsi"/>
          <w:highlight w:val="green"/>
        </w:rPr>
        <w:t xml:space="preserve"> = Utilidad Operacional Activo Total</w:t>
      </w:r>
    </w:p>
    <w:p w14:paraId="7E38E1DF"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Se utiliza para medir la eficiencia de los activos totales independientemente de las fuentes de financiación utilizadas, es decir, la capacidad de generación de utilidad operacional por cada peso invertido en el activo. A mayor rentabilidad sobre activos, mayor es la rentabilidad del negocio y mejor la capacidad organizacional. Este indicador debe ser siempre menor o igual que el de rentabilidad sobre patrimonio.</w:t>
      </w:r>
    </w:p>
    <w:p w14:paraId="7AD7B459" w14:textId="77777777" w:rsidR="003E01E2" w:rsidRPr="007E6FE8" w:rsidRDefault="003E01E2" w:rsidP="009F2B88">
      <w:pPr>
        <w:ind w:left="708"/>
        <w:jc w:val="both"/>
        <w:rPr>
          <w:rFonts w:asciiTheme="minorHAnsi" w:hAnsiTheme="minorHAnsi" w:cstheme="minorHAnsi"/>
          <w:highlight w:val="green"/>
        </w:rPr>
      </w:pPr>
    </w:p>
    <w:p w14:paraId="673E2FB4"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2. Desarrollo del estudio Posterior a la consolidación de la información obtenida de la página web de la Superintendencia de Sociedades, se calcularon los indicadores anteriormente descritos para cada una de las empresas en estudio. </w:t>
      </w:r>
    </w:p>
    <w:p w14:paraId="5CD09ED7" w14:textId="77777777" w:rsidR="003E01E2" w:rsidRPr="007E6FE8" w:rsidRDefault="003E01E2" w:rsidP="009F2B88">
      <w:pPr>
        <w:ind w:left="708"/>
        <w:jc w:val="both"/>
        <w:rPr>
          <w:rFonts w:asciiTheme="minorHAnsi" w:hAnsiTheme="minorHAnsi" w:cstheme="minorHAnsi"/>
          <w:highlight w:val="green"/>
        </w:rPr>
      </w:pPr>
    </w:p>
    <w:p w14:paraId="57B90ACB"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A partir de estos resultados, se procedió a depurar la información, eliminando las entidades que presentaban las siguientes condiciones: </w:t>
      </w:r>
    </w:p>
    <w:p w14:paraId="753A0609" w14:textId="77777777" w:rsidR="003E01E2" w:rsidRPr="007E6FE8" w:rsidRDefault="003E01E2" w:rsidP="009F2B88">
      <w:pPr>
        <w:ind w:left="708"/>
        <w:jc w:val="both"/>
        <w:rPr>
          <w:rFonts w:asciiTheme="minorHAnsi" w:hAnsiTheme="minorHAnsi" w:cstheme="minorHAnsi"/>
          <w:highlight w:val="green"/>
        </w:rPr>
      </w:pPr>
    </w:p>
    <w:p w14:paraId="70DFF7FE"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a. Pérdidas como resultado del ejercicio a 31 de diciembre de 2023. </w:t>
      </w:r>
    </w:p>
    <w:p w14:paraId="5B39BAD7" w14:textId="77777777" w:rsidR="009F2B88" w:rsidRPr="007E6FE8" w:rsidRDefault="009F2B88" w:rsidP="009F2B88">
      <w:pPr>
        <w:ind w:left="708"/>
        <w:jc w:val="both"/>
        <w:rPr>
          <w:rFonts w:asciiTheme="minorHAnsi" w:hAnsiTheme="minorHAnsi" w:cstheme="minorHAnsi"/>
          <w:highlight w:val="green"/>
        </w:rPr>
      </w:pPr>
      <w:r w:rsidRPr="007E6FE8">
        <w:rPr>
          <w:rFonts w:asciiTheme="minorHAnsi" w:hAnsiTheme="minorHAnsi" w:cstheme="minorHAnsi"/>
          <w:highlight w:val="green"/>
        </w:rPr>
        <w:t xml:space="preserve">b. Indicadores con resultados negativos para el ROE y el ROA. </w:t>
      </w:r>
    </w:p>
    <w:p w14:paraId="50C1B5C7" w14:textId="77777777" w:rsidR="009F2B88" w:rsidRDefault="009F2B88" w:rsidP="009F2B88">
      <w:pPr>
        <w:ind w:left="708"/>
        <w:jc w:val="both"/>
        <w:rPr>
          <w:rFonts w:asciiTheme="minorHAnsi" w:hAnsiTheme="minorHAnsi" w:cstheme="minorHAnsi"/>
        </w:rPr>
      </w:pPr>
      <w:r w:rsidRPr="007E6FE8">
        <w:rPr>
          <w:rFonts w:asciiTheme="minorHAnsi" w:hAnsiTheme="minorHAnsi" w:cstheme="minorHAnsi"/>
          <w:highlight w:val="green"/>
        </w:rPr>
        <w:t>c. Valores extremos para los indicadores que se ubicaban por encima del 95% de la muestra al ordenarlos en orden ascendente.</w:t>
      </w:r>
    </w:p>
    <w:p w14:paraId="697FB62F" w14:textId="77777777" w:rsidR="003E01E2" w:rsidRDefault="003E01E2" w:rsidP="009F2B88">
      <w:pPr>
        <w:ind w:left="708"/>
        <w:jc w:val="both"/>
        <w:rPr>
          <w:rFonts w:asciiTheme="minorHAnsi" w:hAnsiTheme="minorHAnsi" w:cstheme="minorHAnsi"/>
        </w:rPr>
      </w:pPr>
    </w:p>
    <w:p w14:paraId="5277880B" w14:textId="77777777" w:rsidR="003E01E2" w:rsidRDefault="003E01E2" w:rsidP="009F2B88">
      <w:pPr>
        <w:ind w:left="708"/>
        <w:jc w:val="both"/>
        <w:rPr>
          <w:rFonts w:asciiTheme="minorHAnsi" w:hAnsiTheme="minorHAnsi" w:cstheme="minorHAnsi"/>
        </w:rPr>
      </w:pPr>
    </w:p>
    <w:p w14:paraId="0F169CB3" w14:textId="77777777" w:rsidR="003E01E2" w:rsidRDefault="003E01E2" w:rsidP="009F2B88">
      <w:pPr>
        <w:ind w:left="708"/>
        <w:jc w:val="both"/>
        <w:rPr>
          <w:rFonts w:asciiTheme="minorHAnsi" w:hAnsiTheme="minorHAnsi" w:cstheme="minorHAnsi"/>
        </w:rPr>
      </w:pPr>
    </w:p>
    <w:p w14:paraId="45DBDE8F" w14:textId="77777777" w:rsidR="003E01E2" w:rsidRDefault="003E01E2" w:rsidP="009F2B88">
      <w:pPr>
        <w:ind w:left="708"/>
        <w:jc w:val="both"/>
        <w:rPr>
          <w:rFonts w:asciiTheme="minorHAnsi" w:hAnsiTheme="minorHAnsi" w:cstheme="minorHAnsi"/>
        </w:rPr>
      </w:pPr>
    </w:p>
    <w:p w14:paraId="5C066C2C" w14:textId="77777777" w:rsidR="003E01E2" w:rsidRDefault="003E01E2" w:rsidP="009F2B88">
      <w:pPr>
        <w:ind w:left="708"/>
        <w:jc w:val="both"/>
        <w:rPr>
          <w:rFonts w:asciiTheme="minorHAnsi" w:hAnsiTheme="minorHAnsi" w:cstheme="minorHAnsi"/>
        </w:rPr>
      </w:pPr>
    </w:p>
    <w:p w14:paraId="6B3016A0" w14:textId="77777777" w:rsidR="003E01E2" w:rsidRDefault="003E01E2" w:rsidP="009F2B88">
      <w:pPr>
        <w:ind w:left="708"/>
        <w:jc w:val="both"/>
        <w:rPr>
          <w:rFonts w:asciiTheme="minorHAnsi" w:hAnsiTheme="minorHAnsi" w:cstheme="minorHAnsi"/>
        </w:rPr>
      </w:pPr>
    </w:p>
    <w:p w14:paraId="06F70807" w14:textId="77777777" w:rsidR="003E01E2" w:rsidRDefault="003E01E2" w:rsidP="009F2B88">
      <w:pPr>
        <w:ind w:left="708"/>
        <w:jc w:val="both"/>
        <w:rPr>
          <w:rFonts w:asciiTheme="minorHAnsi" w:hAnsiTheme="minorHAnsi" w:cstheme="minorHAnsi"/>
        </w:rPr>
      </w:pPr>
    </w:p>
    <w:p w14:paraId="483352F7" w14:textId="77777777" w:rsidR="003E01E2" w:rsidRPr="00041902" w:rsidRDefault="003E01E2" w:rsidP="009F2B88">
      <w:pPr>
        <w:ind w:left="708"/>
        <w:jc w:val="both"/>
        <w:rPr>
          <w:rFonts w:asciiTheme="minorHAnsi" w:hAnsiTheme="minorHAnsi" w:cstheme="minorHAnsi"/>
        </w:rPr>
      </w:pPr>
    </w:p>
    <w:p w14:paraId="32676DCF" w14:textId="77777777" w:rsidR="009F2B88" w:rsidRDefault="009F2B88" w:rsidP="009F2B88">
      <w:pPr>
        <w:jc w:val="both"/>
        <w:rPr>
          <w:rFonts w:asciiTheme="minorHAnsi" w:hAnsiTheme="minorHAnsi" w:cstheme="minorHAnsi"/>
          <w:b/>
        </w:rPr>
      </w:pPr>
      <w:r w:rsidRPr="00041902">
        <w:rPr>
          <w:rFonts w:asciiTheme="minorHAnsi" w:hAnsiTheme="minorHAnsi" w:cstheme="minorHAnsi"/>
          <w:b/>
        </w:rPr>
        <w:t>Muestra del Sector</w:t>
      </w:r>
    </w:p>
    <w:p w14:paraId="25C0B3C1" w14:textId="77777777" w:rsidR="003E01E2" w:rsidRDefault="003E01E2" w:rsidP="009F2B88">
      <w:pPr>
        <w:jc w:val="both"/>
        <w:rPr>
          <w:rFonts w:asciiTheme="minorHAnsi" w:hAnsiTheme="minorHAnsi" w:cstheme="minorHAnsi"/>
          <w:b/>
        </w:rPr>
      </w:pPr>
    </w:p>
    <w:p w14:paraId="44EC61DC" w14:textId="77777777" w:rsidR="009F2B88" w:rsidRDefault="009F2B88" w:rsidP="009F2B88">
      <w:pPr>
        <w:jc w:val="both"/>
        <w:rPr>
          <w:rFonts w:asciiTheme="minorHAnsi" w:hAnsiTheme="minorHAnsi" w:cstheme="minorHAnsi"/>
          <w:b/>
        </w:rPr>
      </w:pPr>
      <w:r w:rsidRPr="00041902">
        <w:rPr>
          <w:rFonts w:asciiTheme="minorHAnsi" w:hAnsiTheme="minorHAnsi" w:cstheme="minorHAnsi"/>
          <w:b/>
        </w:rPr>
        <w:t xml:space="preserve">Se tiene la siguiente muestra de empresas: </w:t>
      </w:r>
    </w:p>
    <w:p w14:paraId="207190F0" w14:textId="77777777" w:rsidR="003E01E2" w:rsidRPr="00041902" w:rsidRDefault="003E01E2" w:rsidP="009F2B88">
      <w:pPr>
        <w:jc w:val="both"/>
        <w:rPr>
          <w:rFonts w:asciiTheme="minorHAnsi" w:hAnsiTheme="minorHAnsi" w:cstheme="minorHAnsi"/>
          <w:b/>
        </w:rPr>
      </w:pPr>
    </w:p>
    <w:p w14:paraId="3B730F96" w14:textId="77777777" w:rsidR="009F2B88" w:rsidRPr="00041902" w:rsidRDefault="009F2B88" w:rsidP="009F2B88">
      <w:pPr>
        <w:jc w:val="center"/>
        <w:rPr>
          <w:rFonts w:asciiTheme="minorHAnsi" w:hAnsiTheme="minorHAnsi" w:cstheme="minorHAnsi"/>
          <w:b/>
        </w:rPr>
      </w:pPr>
      <w:r w:rsidRPr="00041902">
        <w:rPr>
          <w:rFonts w:asciiTheme="minorHAnsi" w:hAnsiTheme="minorHAnsi" w:cstheme="minorHAnsi"/>
          <w:noProof/>
          <w:lang w:val="en-US"/>
        </w:rPr>
        <w:drawing>
          <wp:inline distT="0" distB="0" distL="0" distR="0" wp14:anchorId="24D9DA23" wp14:editId="54922A69">
            <wp:extent cx="5593676" cy="2318167"/>
            <wp:effectExtent l="0" t="0" r="7620" b="6350"/>
            <wp:docPr id="1273515987"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15987" name="Imagen 5" descr="Tabla&#10;&#10;Descripción generada automá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b="46494"/>
                    <a:stretch/>
                  </pic:blipFill>
                  <pic:spPr bwMode="auto">
                    <a:xfrm>
                      <a:off x="0" y="0"/>
                      <a:ext cx="5622919" cy="2330286"/>
                    </a:xfrm>
                    <a:prstGeom prst="rect">
                      <a:avLst/>
                    </a:prstGeom>
                    <a:noFill/>
                    <a:ln>
                      <a:noFill/>
                    </a:ln>
                    <a:extLst>
                      <a:ext uri="{53640926-AAD7-44D8-BBD7-CCE9431645EC}">
                        <a14:shadowObscured xmlns:a14="http://schemas.microsoft.com/office/drawing/2010/main"/>
                      </a:ext>
                    </a:extLst>
                  </pic:spPr>
                </pic:pic>
              </a:graphicData>
            </a:graphic>
          </wp:inline>
        </w:drawing>
      </w:r>
    </w:p>
    <w:p w14:paraId="4829BF17" w14:textId="77777777" w:rsidR="009F2B88" w:rsidRDefault="009F2B88" w:rsidP="009F2B88">
      <w:pPr>
        <w:jc w:val="both"/>
        <w:rPr>
          <w:rFonts w:asciiTheme="minorHAnsi" w:hAnsiTheme="minorHAnsi" w:cstheme="minorHAnsi"/>
        </w:rPr>
      </w:pPr>
      <w:r w:rsidRPr="00041902">
        <w:rPr>
          <w:rFonts w:asciiTheme="minorHAnsi" w:hAnsiTheme="minorHAnsi" w:cstheme="minorHAnsi"/>
          <w:noProof/>
          <w:lang w:val="en-US"/>
        </w:rPr>
        <w:drawing>
          <wp:inline distT="0" distB="0" distL="0" distR="0" wp14:anchorId="0671D2BE" wp14:editId="57AE7945">
            <wp:extent cx="5400040" cy="1977700"/>
            <wp:effectExtent l="0" t="0" r="0" b="3810"/>
            <wp:docPr id="1120250350"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50350" name="Imagen 5" descr="Tabla&#10;&#10;Descripción generada automá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t="57918"/>
                    <a:stretch/>
                  </pic:blipFill>
                  <pic:spPr bwMode="auto">
                    <a:xfrm>
                      <a:off x="0" y="0"/>
                      <a:ext cx="5400040" cy="1977700"/>
                    </a:xfrm>
                    <a:prstGeom prst="rect">
                      <a:avLst/>
                    </a:prstGeom>
                    <a:noFill/>
                    <a:ln>
                      <a:noFill/>
                    </a:ln>
                    <a:extLst>
                      <a:ext uri="{53640926-AAD7-44D8-BBD7-CCE9431645EC}">
                        <a14:shadowObscured xmlns:a14="http://schemas.microsoft.com/office/drawing/2010/main"/>
                      </a:ext>
                    </a:extLst>
                  </pic:spPr>
                </pic:pic>
              </a:graphicData>
            </a:graphic>
          </wp:inline>
        </w:drawing>
      </w:r>
    </w:p>
    <w:p w14:paraId="7ED7A254" w14:textId="77777777" w:rsidR="002C7CE6" w:rsidRPr="00041902" w:rsidRDefault="002C7CE6" w:rsidP="009F2B88">
      <w:pPr>
        <w:jc w:val="both"/>
        <w:rPr>
          <w:rFonts w:asciiTheme="minorHAnsi" w:hAnsiTheme="minorHAnsi" w:cstheme="minorHAnsi"/>
        </w:rPr>
      </w:pPr>
    </w:p>
    <w:p w14:paraId="0494A7C8"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Indicador de Liquidez promedio Mayor o igual a &gt;=2.0, Nivel de endeudamiento valor máximo 74%, para los indicadores de razón de cobertura de intereses, y de capacidad organizacional se estableció con el promedio establecido entre la media y el mínimo: Cobertura de Intereses &gt;= 1.6 Rentabilidad sobre el patrimonio &gt;= 9% y Rentabilidad sobre el activo &gt;=7%. En virtud del estudio realizado, la entidad estableció los indicadores habilitantes de capacidad financiera y organizacional así:</w:t>
      </w:r>
    </w:p>
    <w:p w14:paraId="6694C0B1" w14:textId="77777777" w:rsidR="002C7CE6" w:rsidRPr="007E6FE8" w:rsidRDefault="002C7CE6" w:rsidP="009F2B88">
      <w:pPr>
        <w:jc w:val="both"/>
        <w:rPr>
          <w:rFonts w:asciiTheme="minorHAnsi" w:hAnsiTheme="minorHAnsi" w:cstheme="minorHAnsi"/>
          <w:highlight w:val="green"/>
        </w:rPr>
      </w:pPr>
    </w:p>
    <w:p w14:paraId="6F21E01E" w14:textId="77777777" w:rsidR="002C7CE6" w:rsidRPr="007E6FE8" w:rsidRDefault="002C7CE6" w:rsidP="009F2B88">
      <w:pPr>
        <w:jc w:val="both"/>
        <w:rPr>
          <w:rFonts w:asciiTheme="minorHAnsi" w:hAnsiTheme="minorHAnsi" w:cstheme="minorHAnsi"/>
          <w:highlight w:val="green"/>
        </w:rPr>
      </w:pPr>
    </w:p>
    <w:p w14:paraId="6898AFBB" w14:textId="77777777" w:rsidR="002C7CE6" w:rsidRPr="007E6FE8" w:rsidRDefault="002C7CE6" w:rsidP="009F2B88">
      <w:pPr>
        <w:jc w:val="both"/>
        <w:rPr>
          <w:rFonts w:asciiTheme="minorHAnsi" w:hAnsiTheme="minorHAnsi" w:cstheme="minorHAnsi"/>
          <w:highlight w:val="green"/>
        </w:rPr>
      </w:pPr>
    </w:p>
    <w:p w14:paraId="06F90B3E" w14:textId="69E91FB2" w:rsidR="002C7CE6" w:rsidRPr="007E6FE8" w:rsidRDefault="002C7CE6" w:rsidP="009F2B88">
      <w:pPr>
        <w:jc w:val="both"/>
        <w:rPr>
          <w:rFonts w:asciiTheme="minorHAnsi" w:hAnsiTheme="minorHAnsi" w:cstheme="minorHAnsi"/>
          <w:highlight w:val="green"/>
        </w:rPr>
      </w:pPr>
    </w:p>
    <w:p w14:paraId="3E2C0A6E" w14:textId="77777777" w:rsidR="002C7CE6" w:rsidRPr="007E6FE8" w:rsidRDefault="002C7CE6" w:rsidP="009F2B88">
      <w:pPr>
        <w:jc w:val="both"/>
        <w:rPr>
          <w:rFonts w:asciiTheme="minorHAnsi" w:hAnsiTheme="minorHAnsi" w:cstheme="minorHAnsi"/>
          <w:highlight w:val="green"/>
        </w:rPr>
      </w:pPr>
    </w:p>
    <w:p w14:paraId="16762708" w14:textId="77777777" w:rsidR="002C7CE6" w:rsidRPr="007E6FE8" w:rsidRDefault="002C7CE6" w:rsidP="009F2B88">
      <w:pPr>
        <w:jc w:val="both"/>
        <w:rPr>
          <w:rFonts w:asciiTheme="minorHAnsi" w:hAnsiTheme="minorHAnsi" w:cstheme="minorHAnsi"/>
          <w:highlight w:val="green"/>
        </w:rPr>
      </w:pPr>
    </w:p>
    <w:p w14:paraId="769F257A" w14:textId="77777777" w:rsidR="002C7CE6" w:rsidRPr="007E6FE8" w:rsidRDefault="002C7CE6" w:rsidP="009F2B88">
      <w:pPr>
        <w:jc w:val="both"/>
        <w:rPr>
          <w:rFonts w:asciiTheme="minorHAnsi" w:hAnsiTheme="minorHAnsi" w:cstheme="minorHAnsi"/>
          <w:highlight w:val="green"/>
        </w:rPr>
      </w:pPr>
    </w:p>
    <w:p w14:paraId="54A17060" w14:textId="77777777" w:rsidR="002C7CE6" w:rsidRPr="007E6FE8" w:rsidRDefault="002C7CE6" w:rsidP="009F2B88">
      <w:pPr>
        <w:jc w:val="both"/>
        <w:rPr>
          <w:rFonts w:asciiTheme="minorHAnsi" w:hAnsiTheme="minorHAnsi" w:cstheme="minorHAnsi"/>
          <w:highlight w:val="green"/>
        </w:rPr>
      </w:pPr>
    </w:p>
    <w:p w14:paraId="162D9E96" w14:textId="77777777" w:rsidR="002C7CE6" w:rsidRPr="007E6FE8" w:rsidRDefault="002C7CE6" w:rsidP="009F2B88">
      <w:pPr>
        <w:jc w:val="both"/>
        <w:rPr>
          <w:rFonts w:asciiTheme="minorHAnsi" w:hAnsiTheme="minorHAnsi" w:cstheme="minorHAnsi"/>
          <w:highlight w:val="green"/>
        </w:rPr>
      </w:pPr>
    </w:p>
    <w:p w14:paraId="55F54FA3" w14:textId="77777777" w:rsidR="009F2B88" w:rsidRPr="007E6FE8" w:rsidRDefault="009F2B88" w:rsidP="009F2B88">
      <w:pPr>
        <w:jc w:val="both"/>
        <w:rPr>
          <w:rFonts w:asciiTheme="minorHAnsi" w:hAnsiTheme="minorHAnsi" w:cstheme="minorHAnsi"/>
          <w:noProof/>
          <w:highlight w:val="green"/>
        </w:rPr>
      </w:pPr>
      <w:r w:rsidRPr="007E6FE8">
        <w:rPr>
          <w:rFonts w:asciiTheme="minorHAnsi" w:hAnsiTheme="minorHAnsi" w:cstheme="minorHAnsi"/>
          <w:noProof/>
          <w:highlight w:val="green"/>
          <w:lang w:val="en-US"/>
        </w:rPr>
        <w:lastRenderedPageBreak/>
        <w:drawing>
          <wp:inline distT="0" distB="0" distL="0" distR="0" wp14:anchorId="5B6F3963" wp14:editId="54F96554">
            <wp:extent cx="5400040" cy="1711325"/>
            <wp:effectExtent l="0" t="0" r="0" b="3175"/>
            <wp:docPr id="2032150270" name="Imagen 4" descr="Interfaz de usuario gráfica, Text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50270" name="Imagen 4" descr="Interfaz de usuario gráfica, Texto, Aplicación, Tabl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1711325"/>
                    </a:xfrm>
                    <a:prstGeom prst="rect">
                      <a:avLst/>
                    </a:prstGeom>
                    <a:noFill/>
                    <a:ln>
                      <a:noFill/>
                    </a:ln>
                  </pic:spPr>
                </pic:pic>
              </a:graphicData>
            </a:graphic>
          </wp:inline>
        </w:drawing>
      </w:r>
    </w:p>
    <w:p w14:paraId="3EFD11F5" w14:textId="77777777" w:rsidR="009F2B88" w:rsidRPr="007E6FE8" w:rsidRDefault="009F2B88" w:rsidP="009F2B88">
      <w:pPr>
        <w:pStyle w:val="Prrafodelista"/>
        <w:widowControl/>
        <w:numPr>
          <w:ilvl w:val="1"/>
          <w:numId w:val="12"/>
        </w:numPr>
        <w:autoSpaceDE/>
        <w:autoSpaceDN/>
        <w:ind w:right="88"/>
        <w:contextualSpacing/>
        <w:jc w:val="both"/>
        <w:rPr>
          <w:rFonts w:asciiTheme="minorHAnsi" w:hAnsiTheme="minorHAnsi" w:cstheme="minorHAnsi"/>
          <w:highlight w:val="green"/>
        </w:rPr>
      </w:pPr>
      <w:r w:rsidRPr="007E6FE8">
        <w:rPr>
          <w:rFonts w:asciiTheme="minorHAnsi" w:hAnsiTheme="minorHAnsi" w:cstheme="minorHAnsi"/>
          <w:b/>
          <w:spacing w:val="-3"/>
          <w:highlight w:val="green"/>
        </w:rPr>
        <w:t>CONTEXTO TÉCNICO:</w:t>
      </w:r>
    </w:p>
    <w:p w14:paraId="0DA6B382" w14:textId="77777777" w:rsidR="009F2B88" w:rsidRPr="007E6FE8" w:rsidRDefault="009F2B88" w:rsidP="009F2B88">
      <w:pPr>
        <w:ind w:left="360" w:right="88"/>
        <w:jc w:val="both"/>
        <w:rPr>
          <w:rFonts w:asciiTheme="minorHAnsi" w:hAnsiTheme="minorHAnsi" w:cstheme="minorHAnsi"/>
          <w:highlight w:val="green"/>
        </w:rPr>
      </w:pPr>
    </w:p>
    <w:p w14:paraId="4F412AFD" w14:textId="77777777" w:rsidR="009F2B88" w:rsidRPr="007E6FE8" w:rsidRDefault="009F2B88" w:rsidP="009F2B88">
      <w:pPr>
        <w:pStyle w:val="Default"/>
        <w:jc w:val="both"/>
        <w:rPr>
          <w:rFonts w:asciiTheme="minorHAnsi" w:hAnsiTheme="minorHAnsi" w:cstheme="minorHAnsi"/>
          <w:sz w:val="22"/>
          <w:szCs w:val="22"/>
          <w:highlight w:val="green"/>
          <w:lang w:val="es-CO"/>
        </w:rPr>
      </w:pPr>
      <w:r w:rsidRPr="007E6FE8">
        <w:rPr>
          <w:rFonts w:asciiTheme="minorHAnsi" w:hAnsiTheme="minorHAnsi" w:cstheme="minorHAnsi"/>
          <w:sz w:val="22"/>
          <w:szCs w:val="22"/>
          <w:highlight w:val="green"/>
          <w:lang w:val="es-CO"/>
        </w:rPr>
        <w:t xml:space="preserve">El Intermediario de Seguros que resulte seleccionado deberá desarrollar el servicio especializado de asesoría y consejo, que incluya las actividades y características generales que se describen a continuación: </w:t>
      </w:r>
    </w:p>
    <w:p w14:paraId="121AFE8F" w14:textId="77777777" w:rsidR="009F2B88" w:rsidRPr="007E6FE8" w:rsidRDefault="009F2B88" w:rsidP="009F2B88">
      <w:pPr>
        <w:pStyle w:val="Default"/>
        <w:jc w:val="both"/>
        <w:rPr>
          <w:rFonts w:asciiTheme="minorHAnsi" w:hAnsiTheme="minorHAnsi" w:cstheme="minorHAnsi"/>
          <w:sz w:val="22"/>
          <w:szCs w:val="22"/>
          <w:highlight w:val="green"/>
          <w:lang w:val="es-CO"/>
        </w:rPr>
      </w:pPr>
    </w:p>
    <w:p w14:paraId="30A474D7" w14:textId="77777777" w:rsidR="009F2B88" w:rsidRPr="007E6FE8" w:rsidRDefault="009F2B88" w:rsidP="009F2B88">
      <w:pPr>
        <w:pStyle w:val="Default"/>
        <w:jc w:val="both"/>
        <w:rPr>
          <w:rFonts w:asciiTheme="minorHAnsi" w:hAnsiTheme="minorHAnsi" w:cstheme="minorHAnsi"/>
          <w:sz w:val="22"/>
          <w:szCs w:val="22"/>
          <w:highlight w:val="green"/>
          <w:lang w:val="es-CO"/>
        </w:rPr>
      </w:pPr>
      <w:r w:rsidRPr="007E6FE8">
        <w:rPr>
          <w:rFonts w:asciiTheme="minorHAnsi" w:hAnsiTheme="minorHAnsi" w:cstheme="minorHAnsi"/>
          <w:b/>
          <w:sz w:val="22"/>
          <w:szCs w:val="22"/>
          <w:highlight w:val="green"/>
          <w:lang w:val="es-CO"/>
        </w:rPr>
        <w:t>1.</w:t>
      </w:r>
      <w:r w:rsidRPr="007E6FE8">
        <w:rPr>
          <w:rFonts w:asciiTheme="minorHAnsi" w:hAnsiTheme="minorHAnsi" w:cstheme="minorHAnsi"/>
          <w:sz w:val="22"/>
          <w:szCs w:val="22"/>
          <w:highlight w:val="green"/>
          <w:lang w:val="es-CO"/>
        </w:rPr>
        <w:t xml:space="preserve"> Presentar un Plan de Trabajo en el cual se incluya la definición de los criterios técnicos generales que deberá utilizar la Corporación Gilberto Echeverri Mejía para la estructuración de un programa de seguros acorde con los riesgos a los cuales se encuentra expuesta la Entidad. </w:t>
      </w:r>
    </w:p>
    <w:p w14:paraId="30231B1F" w14:textId="77777777" w:rsidR="009F2B88" w:rsidRPr="007E6FE8" w:rsidRDefault="009F2B88" w:rsidP="009F2B88">
      <w:pPr>
        <w:pStyle w:val="Default"/>
        <w:jc w:val="both"/>
        <w:rPr>
          <w:rFonts w:asciiTheme="minorHAnsi" w:hAnsiTheme="minorHAnsi" w:cstheme="minorHAnsi"/>
          <w:sz w:val="22"/>
          <w:szCs w:val="22"/>
          <w:highlight w:val="green"/>
          <w:lang w:val="es-CO"/>
        </w:rPr>
      </w:pPr>
    </w:p>
    <w:p w14:paraId="4DD444E2" w14:textId="77777777" w:rsidR="009F2B88" w:rsidRPr="007E6FE8" w:rsidRDefault="009F2B88" w:rsidP="009F2B88">
      <w:pPr>
        <w:pStyle w:val="Default"/>
        <w:jc w:val="both"/>
        <w:rPr>
          <w:rFonts w:asciiTheme="minorHAnsi" w:hAnsiTheme="minorHAnsi" w:cstheme="minorHAnsi"/>
          <w:sz w:val="22"/>
          <w:szCs w:val="22"/>
          <w:highlight w:val="green"/>
          <w:lang w:val="es-CO"/>
        </w:rPr>
      </w:pPr>
      <w:r w:rsidRPr="007E6FE8">
        <w:rPr>
          <w:rFonts w:asciiTheme="minorHAnsi" w:hAnsiTheme="minorHAnsi" w:cstheme="minorHAnsi"/>
          <w:sz w:val="22"/>
          <w:szCs w:val="22"/>
          <w:highlight w:val="green"/>
          <w:lang w:val="es-CO"/>
        </w:rPr>
        <w:t xml:space="preserve">El plan de trabajo entregado por el intermediario de Seguros y el cronograma para su desarrollo le deberá permitir estructurar los pliegos de condiciones que orienten la selección de la aseguradora que asumirá los riesgos a través de un programa de seguros destinado a proteger el patrimonio, cubrir los bienes muebles e inmuebles de propiedad de la Corporación Gilberto Echeverri Mejía y aquellos intereses y bienes por los cuales es, o llegare a ser, responsable. </w:t>
      </w:r>
    </w:p>
    <w:p w14:paraId="63637D06"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7AC030BC"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El mencionado plan deberá permitirle a la Entidad identificar el adecuado equilibrio entre el costo de aseguramiento y el beneficio de las protecciones ofrecidas, así como la selección de las mejores condiciones técnicas y económicas existentes en el mercado asegurador. </w:t>
      </w:r>
    </w:p>
    <w:p w14:paraId="3A1A892B"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270D0D9D"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Se debe precisar la siguiente información: </w:t>
      </w:r>
    </w:p>
    <w:p w14:paraId="3AD01574"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5BD3DFAD"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 Cronograma de actividades para la contratación de la Compañía de Seguros. </w:t>
      </w:r>
    </w:p>
    <w:p w14:paraId="6A38D633"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 Criterios Técnicos Generales que se usarán para estructurar las pólizas que conforman el programa de seguros, precisando sus ramos. </w:t>
      </w:r>
    </w:p>
    <w:p w14:paraId="217E4104"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0390EBCE"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 Actividades o mecanismos para la administración del programa de seguros. </w:t>
      </w:r>
    </w:p>
    <w:p w14:paraId="69B2FDE6" w14:textId="77777777" w:rsidR="009F2B88" w:rsidRPr="007E6FE8" w:rsidRDefault="009F2B88" w:rsidP="009F2B88">
      <w:pPr>
        <w:pStyle w:val="Default"/>
        <w:jc w:val="both"/>
        <w:rPr>
          <w:rFonts w:asciiTheme="minorHAnsi" w:hAnsiTheme="minorHAnsi" w:cstheme="minorHAnsi"/>
          <w:b/>
          <w:color w:val="auto"/>
          <w:sz w:val="22"/>
          <w:szCs w:val="22"/>
          <w:highlight w:val="green"/>
          <w:lang w:val="es-CO"/>
        </w:rPr>
      </w:pPr>
    </w:p>
    <w:p w14:paraId="12C34603"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b/>
          <w:color w:val="auto"/>
          <w:sz w:val="22"/>
          <w:szCs w:val="22"/>
          <w:highlight w:val="green"/>
          <w:lang w:val="es-CO"/>
        </w:rPr>
        <w:t>2</w:t>
      </w:r>
      <w:r w:rsidRPr="007E6FE8">
        <w:rPr>
          <w:rFonts w:asciiTheme="minorHAnsi" w:hAnsiTheme="minorHAnsi" w:cstheme="minorHAnsi"/>
          <w:color w:val="auto"/>
          <w:sz w:val="22"/>
          <w:szCs w:val="22"/>
          <w:highlight w:val="green"/>
          <w:lang w:val="es-CO"/>
        </w:rPr>
        <w:t xml:space="preserve">. Elaborar y poner a consideración de la Corporación Gilberto Echeverri Mejía los estudios previos para diseñar el programa de seguros que requiera la entidad y proyectar el pliego de condiciones y la propuesta de coberturas y condiciones, así como el análisis del sector económico y del mercado, contemplado en el artículo 15 del Decreto 1510 de 2013. </w:t>
      </w:r>
    </w:p>
    <w:p w14:paraId="68619251"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0194185A" w14:textId="77777777" w:rsidR="006A4081" w:rsidRPr="007E6FE8" w:rsidRDefault="006A4081" w:rsidP="009F2B88">
      <w:pPr>
        <w:pStyle w:val="Default"/>
        <w:jc w:val="both"/>
        <w:rPr>
          <w:rFonts w:asciiTheme="minorHAnsi" w:hAnsiTheme="minorHAnsi" w:cstheme="minorHAnsi"/>
          <w:color w:val="auto"/>
          <w:sz w:val="22"/>
          <w:szCs w:val="22"/>
          <w:highlight w:val="green"/>
          <w:lang w:val="es-CO"/>
        </w:rPr>
      </w:pPr>
    </w:p>
    <w:p w14:paraId="0237143B"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b/>
          <w:color w:val="auto"/>
          <w:sz w:val="22"/>
          <w:szCs w:val="22"/>
          <w:highlight w:val="green"/>
          <w:lang w:val="es-CO"/>
        </w:rPr>
        <w:t>3.</w:t>
      </w:r>
      <w:r w:rsidRPr="007E6FE8">
        <w:rPr>
          <w:rFonts w:asciiTheme="minorHAnsi" w:hAnsiTheme="minorHAnsi" w:cstheme="minorHAnsi"/>
          <w:color w:val="auto"/>
          <w:sz w:val="22"/>
          <w:szCs w:val="22"/>
          <w:highlight w:val="green"/>
          <w:lang w:val="es-CO"/>
        </w:rPr>
        <w:t xml:space="preserve"> Asesorar en todos los trámites previos y durante el respectivo proceso de selección para contratar las pólizas del programa de seguros, preparación de los respectivos estudios previos, invitaciones y pliego de condiciones, proyectar </w:t>
      </w:r>
      <w:r w:rsidRPr="007E6FE8">
        <w:rPr>
          <w:rFonts w:asciiTheme="minorHAnsi" w:hAnsiTheme="minorHAnsi" w:cstheme="minorHAnsi"/>
          <w:color w:val="auto"/>
          <w:sz w:val="22"/>
          <w:szCs w:val="22"/>
          <w:highlight w:val="green"/>
          <w:lang w:val="es-CO"/>
        </w:rPr>
        <w:lastRenderedPageBreak/>
        <w:t xml:space="preserve">las respuestas a las observaciones formuladas a los borradores del pliego y al pliego definitivo, asistencia a las audiencias y reuniones preliminares y derivadas del respectivo proceso de selección, evaluación técnica y económica de las ofertas en cada uno de los procesos y proyección de las respuestas a las observaciones formuladas por los proponentes al informe de evaluación de las mismas. </w:t>
      </w:r>
    </w:p>
    <w:p w14:paraId="160FD701"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78B80459"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b/>
          <w:color w:val="auto"/>
          <w:sz w:val="22"/>
          <w:szCs w:val="22"/>
          <w:highlight w:val="green"/>
          <w:lang w:val="es-CO"/>
        </w:rPr>
        <w:t>4</w:t>
      </w:r>
      <w:r w:rsidRPr="007E6FE8">
        <w:rPr>
          <w:rFonts w:asciiTheme="minorHAnsi" w:hAnsiTheme="minorHAnsi" w:cstheme="minorHAnsi"/>
          <w:color w:val="auto"/>
          <w:sz w:val="22"/>
          <w:szCs w:val="22"/>
          <w:highlight w:val="green"/>
          <w:lang w:val="es-CO"/>
        </w:rPr>
        <w:t xml:space="preserve">. Asesorar a las diferentes áreas de la Corporación Gilberto Echeverri Mejía en el diligenciamiento de los formularios y documentos requeridos en la solicitud de ofertas para la contratación de las pólizas a las compañías de seguros, consolidar la información y revisar la coherencia, pertinencia y oportunidad de </w:t>
      </w:r>
      <w:proofErr w:type="gramStart"/>
      <w:r w:rsidRPr="007E6FE8">
        <w:rPr>
          <w:rFonts w:asciiTheme="minorHAnsi" w:hAnsiTheme="minorHAnsi" w:cstheme="minorHAnsi"/>
          <w:color w:val="auto"/>
          <w:sz w:val="22"/>
          <w:szCs w:val="22"/>
          <w:highlight w:val="green"/>
          <w:lang w:val="es-CO"/>
        </w:rPr>
        <w:t>la misma</w:t>
      </w:r>
      <w:proofErr w:type="gramEnd"/>
      <w:r w:rsidRPr="007E6FE8">
        <w:rPr>
          <w:rFonts w:asciiTheme="minorHAnsi" w:hAnsiTheme="minorHAnsi" w:cstheme="minorHAnsi"/>
          <w:color w:val="auto"/>
          <w:sz w:val="22"/>
          <w:szCs w:val="22"/>
          <w:highlight w:val="green"/>
          <w:lang w:val="es-CO"/>
        </w:rPr>
        <w:t xml:space="preserve">. </w:t>
      </w:r>
    </w:p>
    <w:p w14:paraId="468BCA02"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7BD19C58"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b/>
          <w:color w:val="auto"/>
          <w:sz w:val="22"/>
          <w:szCs w:val="22"/>
          <w:highlight w:val="green"/>
          <w:lang w:val="es-CO"/>
        </w:rPr>
        <w:t>5</w:t>
      </w:r>
      <w:r w:rsidRPr="007E6FE8">
        <w:rPr>
          <w:rFonts w:asciiTheme="minorHAnsi" w:hAnsiTheme="minorHAnsi" w:cstheme="minorHAnsi"/>
          <w:color w:val="auto"/>
          <w:sz w:val="22"/>
          <w:szCs w:val="22"/>
          <w:highlight w:val="green"/>
          <w:lang w:val="es-CO"/>
        </w:rPr>
        <w:t xml:space="preserve">. Elaborar y entregar el Programa de Prevención de Pérdidas en el que el intermediario de Seguros le indique a la Entidad las formas de tratamiento del riesgo, el cual deberá incluir las actividades y recomendaciones que le permitan la detección, prevención, minimización o eliminación de todos los riesgos que se puedan materializar y que son objeto de cobertura bajo una póliza de seguros. </w:t>
      </w:r>
    </w:p>
    <w:p w14:paraId="3367D235"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30F80702"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Para lo anterior deberá precisar en especial: </w:t>
      </w:r>
    </w:p>
    <w:p w14:paraId="3631A3B4"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29621146"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 Estructura y metodología para la atención de siniestros y trámite de reclamaciones </w:t>
      </w:r>
    </w:p>
    <w:p w14:paraId="323D7EF3"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 Metodología para el desarrollo del plan de administración y prevención de riesgos, análisis de </w:t>
      </w:r>
      <w:proofErr w:type="gramStart"/>
      <w:r w:rsidRPr="007E6FE8">
        <w:rPr>
          <w:rFonts w:asciiTheme="minorHAnsi" w:hAnsiTheme="minorHAnsi" w:cstheme="minorHAnsi"/>
          <w:color w:val="auto"/>
          <w:sz w:val="22"/>
          <w:szCs w:val="22"/>
          <w:highlight w:val="green"/>
          <w:lang w:val="es-CO"/>
        </w:rPr>
        <w:t>los mismos</w:t>
      </w:r>
      <w:proofErr w:type="gramEnd"/>
      <w:r w:rsidRPr="007E6FE8">
        <w:rPr>
          <w:rFonts w:asciiTheme="minorHAnsi" w:hAnsiTheme="minorHAnsi" w:cstheme="minorHAnsi"/>
          <w:color w:val="auto"/>
          <w:sz w:val="22"/>
          <w:szCs w:val="22"/>
          <w:highlight w:val="green"/>
          <w:lang w:val="es-CO"/>
        </w:rPr>
        <w:t xml:space="preserve"> y presentación de estudios y recomendaciones. </w:t>
      </w:r>
    </w:p>
    <w:p w14:paraId="7C3C05EB" w14:textId="77777777" w:rsidR="009F2B88" w:rsidRPr="007E6FE8" w:rsidRDefault="009F2B88" w:rsidP="009F2B88">
      <w:pPr>
        <w:pStyle w:val="Default"/>
        <w:jc w:val="both"/>
        <w:rPr>
          <w:rFonts w:asciiTheme="minorHAnsi" w:hAnsiTheme="minorHAnsi" w:cstheme="minorHAnsi"/>
          <w:b/>
          <w:color w:val="auto"/>
          <w:sz w:val="22"/>
          <w:szCs w:val="22"/>
          <w:highlight w:val="green"/>
          <w:lang w:val="es-CO"/>
        </w:rPr>
      </w:pPr>
    </w:p>
    <w:p w14:paraId="25BBF9D1"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b/>
          <w:color w:val="auto"/>
          <w:sz w:val="22"/>
          <w:szCs w:val="22"/>
          <w:highlight w:val="green"/>
          <w:lang w:val="es-CO"/>
        </w:rPr>
        <w:t>6</w:t>
      </w:r>
      <w:r w:rsidRPr="007E6FE8">
        <w:rPr>
          <w:rFonts w:asciiTheme="minorHAnsi" w:hAnsiTheme="minorHAnsi" w:cstheme="minorHAnsi"/>
          <w:color w:val="auto"/>
          <w:sz w:val="22"/>
          <w:szCs w:val="22"/>
          <w:highlight w:val="green"/>
          <w:lang w:val="es-CO"/>
        </w:rPr>
        <w:t xml:space="preserve">. Con posterioridad a la celebración del contrato de seguro con las compañías aseguradoras seleccionadas, el intermediario de seguros deberá asesorar aportando conocimientos especializados, y colaborar en la correcta administración de sus contratos de seguros y de las reclamaciones a que haya lugar con ocasión de siniestros. </w:t>
      </w:r>
    </w:p>
    <w:p w14:paraId="376B7AB4"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314F1293"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Para tal efecto, el intermediario de seguros estará atento a los ajustes que se requieran durante la vigencia de las pólizas, velará porque la Corporación Gilberto Echeverri Mejía cumpla con las cargas que le correspondan de acuerdo con la Ley y el contrato de seguros, y advertirá de las razones que puedan amenazar la correcta indemnización por siniestro. </w:t>
      </w:r>
    </w:p>
    <w:p w14:paraId="41885A4F"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26FD586D"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r w:rsidRPr="007E6FE8">
        <w:rPr>
          <w:rFonts w:asciiTheme="minorHAnsi" w:hAnsiTheme="minorHAnsi" w:cstheme="minorHAnsi"/>
          <w:color w:val="auto"/>
          <w:sz w:val="22"/>
          <w:szCs w:val="22"/>
          <w:highlight w:val="green"/>
          <w:lang w:val="es-CO"/>
        </w:rPr>
        <w:t xml:space="preserve">En ningún caso el aviso de vencimientos de pólizas y de vencimiento del contrato de intermediación ni la proyección de presupuestos para calcular el monto de contrataciones posteriores, se interpretará como participación del intermediario en la nueva contratación del programa de seguros. </w:t>
      </w:r>
    </w:p>
    <w:p w14:paraId="60360B43" w14:textId="77777777" w:rsidR="009F2B88" w:rsidRPr="007E6FE8" w:rsidRDefault="009F2B88" w:rsidP="009F2B88">
      <w:pPr>
        <w:pStyle w:val="Default"/>
        <w:jc w:val="both"/>
        <w:rPr>
          <w:rFonts w:asciiTheme="minorHAnsi" w:hAnsiTheme="minorHAnsi" w:cstheme="minorHAnsi"/>
          <w:color w:val="auto"/>
          <w:sz w:val="22"/>
          <w:szCs w:val="22"/>
          <w:highlight w:val="green"/>
          <w:lang w:val="es-CO"/>
        </w:rPr>
      </w:pPr>
    </w:p>
    <w:p w14:paraId="145AF5FD" w14:textId="77777777" w:rsidR="009F2B88" w:rsidRPr="00041902" w:rsidRDefault="009F2B88" w:rsidP="009F2B88">
      <w:pPr>
        <w:shd w:val="clear" w:color="auto" w:fill="FCFCFC"/>
        <w:jc w:val="both"/>
        <w:rPr>
          <w:rFonts w:asciiTheme="minorHAnsi" w:hAnsiTheme="minorHAnsi" w:cstheme="minorHAnsi"/>
          <w:color w:val="000000"/>
        </w:rPr>
      </w:pPr>
      <w:r w:rsidRPr="007E6FE8">
        <w:rPr>
          <w:rFonts w:asciiTheme="minorHAnsi" w:hAnsiTheme="minorHAnsi" w:cstheme="minorHAnsi"/>
          <w:highlight w:val="green"/>
        </w:rPr>
        <w:t>El detalle de las especificaciones técnicas se encuentra descrito en el anexo denominado ANEXO TÉCNICO.</w:t>
      </w:r>
    </w:p>
    <w:p w14:paraId="009BACED" w14:textId="77777777" w:rsidR="009F2B88" w:rsidRPr="00041902" w:rsidRDefault="009F2B88" w:rsidP="009F2B88">
      <w:pPr>
        <w:adjustRightInd w:val="0"/>
        <w:jc w:val="both"/>
        <w:rPr>
          <w:rFonts w:asciiTheme="minorHAnsi" w:hAnsiTheme="minorHAnsi" w:cstheme="minorHAnsi"/>
          <w:b/>
        </w:rPr>
      </w:pPr>
    </w:p>
    <w:p w14:paraId="6F45B48B" w14:textId="77777777" w:rsidR="009F2B88" w:rsidRPr="00041902" w:rsidRDefault="009F2B88" w:rsidP="009F2B88">
      <w:pPr>
        <w:pStyle w:val="Prrafodelista"/>
        <w:widowControl/>
        <w:numPr>
          <w:ilvl w:val="1"/>
          <w:numId w:val="12"/>
        </w:numPr>
        <w:adjustRightInd w:val="0"/>
        <w:contextualSpacing/>
        <w:jc w:val="both"/>
        <w:rPr>
          <w:rFonts w:asciiTheme="minorHAnsi" w:hAnsiTheme="minorHAnsi" w:cstheme="minorHAnsi"/>
          <w:b/>
        </w:rPr>
      </w:pPr>
      <w:r w:rsidRPr="00041902">
        <w:rPr>
          <w:rFonts w:asciiTheme="minorHAnsi" w:hAnsiTheme="minorHAnsi" w:cstheme="minorHAnsi"/>
          <w:b/>
        </w:rPr>
        <w:t>CONTEXTO REGULATORIO</w:t>
      </w:r>
    </w:p>
    <w:p w14:paraId="602C3E64" w14:textId="77777777" w:rsidR="009F2B88" w:rsidRPr="00041902" w:rsidRDefault="009F2B88" w:rsidP="009F2B88">
      <w:pPr>
        <w:adjustRightInd w:val="0"/>
        <w:jc w:val="both"/>
        <w:rPr>
          <w:rFonts w:asciiTheme="minorHAnsi" w:hAnsiTheme="minorHAnsi" w:cstheme="minorHAnsi"/>
          <w:b/>
        </w:rPr>
      </w:pPr>
    </w:p>
    <w:p w14:paraId="1C627E7D" w14:textId="1DA3054F" w:rsidR="009F2B88" w:rsidRPr="007E6FE8" w:rsidRDefault="009F2B88" w:rsidP="009F2B88">
      <w:pPr>
        <w:ind w:right="51"/>
        <w:jc w:val="both"/>
        <w:rPr>
          <w:rFonts w:asciiTheme="minorHAnsi" w:hAnsiTheme="minorHAnsi" w:cstheme="minorHAnsi"/>
          <w:highlight w:val="green"/>
        </w:rPr>
      </w:pPr>
      <w:r w:rsidRPr="007E6FE8">
        <w:rPr>
          <w:rFonts w:asciiTheme="minorHAnsi" w:hAnsiTheme="minorHAnsi" w:cstheme="minorHAnsi"/>
          <w:highlight w:val="green"/>
        </w:rPr>
        <w:t>Las intervenciones y actividades por ejecutar deberán cumplir con los requisitos y contenidos establecidos en los siguientes documentos:</w:t>
      </w:r>
    </w:p>
    <w:p w14:paraId="732F333F" w14:textId="77777777" w:rsidR="00FA7471" w:rsidRPr="007E6FE8" w:rsidRDefault="00FA7471" w:rsidP="009F2B88">
      <w:pPr>
        <w:ind w:right="51"/>
        <w:jc w:val="both"/>
        <w:rPr>
          <w:rFonts w:asciiTheme="minorHAnsi" w:hAnsiTheme="minorHAnsi" w:cstheme="minorHAnsi"/>
          <w:highlight w:val="green"/>
        </w:rPr>
      </w:pPr>
    </w:p>
    <w:p w14:paraId="099B3411" w14:textId="77777777" w:rsidR="009F2B88" w:rsidRPr="007E6FE8" w:rsidRDefault="009F2B88" w:rsidP="009F2B88">
      <w:pPr>
        <w:suppressAutoHyphens/>
        <w:jc w:val="both"/>
        <w:rPr>
          <w:rFonts w:asciiTheme="minorHAnsi" w:hAnsiTheme="minorHAnsi" w:cstheme="minorHAnsi"/>
          <w:bCs/>
          <w:highlight w:val="green"/>
          <w:lang w:eastAsia="ar-SA" w:bidi="es-ES"/>
        </w:rPr>
      </w:pPr>
      <w:r w:rsidRPr="007E6FE8">
        <w:rPr>
          <w:rFonts w:asciiTheme="minorHAnsi" w:hAnsiTheme="minorHAnsi" w:cstheme="minorHAnsi"/>
          <w:bCs/>
          <w:highlight w:val="green"/>
          <w:lang w:eastAsia="ar-SA" w:bidi="es-ES"/>
        </w:rPr>
        <w:t>Código de Comercio Artículos 1036 y siguientes.</w:t>
      </w:r>
    </w:p>
    <w:p w14:paraId="1DECADEF" w14:textId="77777777" w:rsidR="00FA7471" w:rsidRPr="007E6FE8" w:rsidRDefault="00FA7471" w:rsidP="009F2B88">
      <w:pPr>
        <w:suppressAutoHyphens/>
        <w:jc w:val="both"/>
        <w:rPr>
          <w:rFonts w:asciiTheme="minorHAnsi" w:hAnsiTheme="minorHAnsi" w:cstheme="minorHAnsi"/>
          <w:bCs/>
          <w:highlight w:val="green"/>
          <w:lang w:eastAsia="ar-SA" w:bidi="es-ES"/>
        </w:rPr>
      </w:pPr>
    </w:p>
    <w:p w14:paraId="7E7B1205" w14:textId="77777777" w:rsidR="00FA7471" w:rsidRPr="007E6FE8" w:rsidRDefault="00FA7471" w:rsidP="009F2B88">
      <w:pPr>
        <w:suppressAutoHyphens/>
        <w:jc w:val="both"/>
        <w:rPr>
          <w:rFonts w:asciiTheme="minorHAnsi" w:hAnsiTheme="minorHAnsi" w:cstheme="minorHAnsi"/>
          <w:bCs/>
          <w:highlight w:val="green"/>
          <w:lang w:eastAsia="ar-SA" w:bidi="es-ES"/>
        </w:rPr>
      </w:pPr>
    </w:p>
    <w:p w14:paraId="653DEDB5" w14:textId="77777777" w:rsidR="00FA7471" w:rsidRPr="007E6FE8" w:rsidRDefault="00FA7471" w:rsidP="009F2B88">
      <w:pPr>
        <w:suppressAutoHyphens/>
        <w:jc w:val="both"/>
        <w:rPr>
          <w:rFonts w:asciiTheme="minorHAnsi" w:hAnsiTheme="minorHAnsi" w:cstheme="minorHAnsi"/>
          <w:bCs/>
          <w:highlight w:val="green"/>
          <w:lang w:eastAsia="ar-SA" w:bidi="es-ES"/>
        </w:rPr>
      </w:pPr>
    </w:p>
    <w:p w14:paraId="22291B90" w14:textId="77777777" w:rsidR="009F2B88" w:rsidRPr="007E6FE8" w:rsidRDefault="009F2B88" w:rsidP="009F2B88">
      <w:pPr>
        <w:suppressAutoHyphens/>
        <w:jc w:val="both"/>
        <w:rPr>
          <w:rFonts w:asciiTheme="minorHAnsi" w:hAnsiTheme="minorHAnsi" w:cstheme="minorHAnsi"/>
          <w:bCs/>
          <w:highlight w:val="green"/>
          <w:lang w:eastAsia="ar-SA" w:bidi="es-ES"/>
        </w:rPr>
      </w:pPr>
      <w:r w:rsidRPr="007E6FE8">
        <w:rPr>
          <w:rFonts w:asciiTheme="minorHAnsi" w:hAnsiTheme="minorHAnsi" w:cstheme="minorHAnsi"/>
          <w:bCs/>
          <w:highlight w:val="green"/>
          <w:lang w:eastAsia="ar-SA" w:bidi="es-ES"/>
        </w:rPr>
        <w:t>Estatuto Orgánico del Sistema Financiero. (Aseguradoras y Corredores de Seguros).</w:t>
      </w:r>
    </w:p>
    <w:p w14:paraId="0FB45361" w14:textId="77777777" w:rsidR="00FA7471" w:rsidRPr="007E6FE8" w:rsidRDefault="00FA7471" w:rsidP="009F2B88">
      <w:pPr>
        <w:suppressAutoHyphens/>
        <w:jc w:val="both"/>
        <w:rPr>
          <w:rFonts w:asciiTheme="minorHAnsi" w:hAnsiTheme="minorHAnsi" w:cstheme="minorHAnsi"/>
          <w:bCs/>
          <w:highlight w:val="green"/>
          <w:lang w:eastAsia="ar-SA" w:bidi="es-ES"/>
        </w:rPr>
      </w:pPr>
    </w:p>
    <w:p w14:paraId="1E131D4F"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bCs/>
          <w:highlight w:val="green"/>
        </w:rPr>
        <w:t>LEY 610 DE 2000</w:t>
      </w:r>
      <w:r w:rsidRPr="007E6FE8">
        <w:rPr>
          <w:rFonts w:asciiTheme="minorHAnsi" w:hAnsiTheme="minorHAnsi" w:cstheme="minorHAnsi"/>
          <w:highlight w:val="green"/>
        </w:rPr>
        <w:t>: Por la cual se establece el trámite de los procesos de responsabilidad fiscal de competencia de las contralorías.</w:t>
      </w:r>
    </w:p>
    <w:p w14:paraId="6600DB58" w14:textId="77777777" w:rsidR="003834D9" w:rsidRPr="007E6FE8" w:rsidRDefault="003834D9" w:rsidP="009F2B88">
      <w:pPr>
        <w:jc w:val="both"/>
        <w:rPr>
          <w:rFonts w:asciiTheme="minorHAnsi" w:hAnsiTheme="minorHAnsi" w:cstheme="minorHAnsi"/>
          <w:highlight w:val="green"/>
          <w:lang w:val="es-ES_tradnl"/>
        </w:rPr>
      </w:pPr>
    </w:p>
    <w:p w14:paraId="5E5829CD"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highlight w:val="green"/>
        </w:rPr>
        <w:t>LEY 45 DE 1990</w:t>
      </w:r>
      <w:r w:rsidRPr="007E6FE8">
        <w:rPr>
          <w:rFonts w:asciiTheme="minorHAnsi" w:hAnsiTheme="minorHAnsi" w:cstheme="minorHAnsi"/>
          <w:highlight w:val="green"/>
        </w:rPr>
        <w:t xml:space="preserve"> “Por la cual se expiden normas en materia de intermediación financiera, se regula la actividad aseguradora, se conceden unas facultades y se dictan otras disposiciones”.   </w:t>
      </w:r>
    </w:p>
    <w:p w14:paraId="71A4E897" w14:textId="77777777" w:rsidR="003834D9" w:rsidRPr="007E6FE8" w:rsidRDefault="003834D9" w:rsidP="009F2B88">
      <w:pPr>
        <w:jc w:val="both"/>
        <w:rPr>
          <w:rFonts w:asciiTheme="minorHAnsi" w:hAnsiTheme="minorHAnsi" w:cstheme="minorHAnsi"/>
          <w:highlight w:val="green"/>
        </w:rPr>
      </w:pPr>
    </w:p>
    <w:p w14:paraId="77488FF6"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En su artículo 62 establece: “Todos los seguros requeridos para una adecuada protección de los intereses patrimoniales de las entidades públicas y de los bienes pertenecientes a las mismas, o de los cuales sean legalmente responsables, se contratarán con cualquiera de las compañías de seguros legalmente autorizadas para funcionar en el país. Los representantes legales, las juntas y consejos directivos de las entidades oficiales serán responsables de que la contratación se efectúe con entidades aseguradoras que ofrezcan adecuadas condiciones en materia de solvencia, coberturas y precios”.   </w:t>
      </w:r>
    </w:p>
    <w:p w14:paraId="4E02ABBD" w14:textId="77777777" w:rsidR="003834D9" w:rsidRPr="007E6FE8" w:rsidRDefault="003834D9" w:rsidP="009F2B88">
      <w:pPr>
        <w:jc w:val="both"/>
        <w:rPr>
          <w:rFonts w:asciiTheme="minorHAnsi" w:hAnsiTheme="minorHAnsi" w:cstheme="minorHAnsi"/>
          <w:highlight w:val="green"/>
        </w:rPr>
      </w:pPr>
    </w:p>
    <w:p w14:paraId="35C7BF30"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highlight w:val="green"/>
        </w:rPr>
        <w:t>DECRETO 2605 DE 1993</w:t>
      </w:r>
      <w:r w:rsidRPr="007E6FE8">
        <w:rPr>
          <w:rFonts w:asciiTheme="minorHAnsi" w:hAnsiTheme="minorHAnsi" w:cstheme="minorHAnsi"/>
          <w:highlight w:val="green"/>
        </w:rPr>
        <w:t xml:space="preserve"> “por el cual se señala el régimen aplicable a los intermediarios de seguros y reaseguros y se fijan las condiciones para su supervisión”.   </w:t>
      </w:r>
    </w:p>
    <w:p w14:paraId="60E636D6" w14:textId="77777777" w:rsidR="003834D9" w:rsidRPr="007E6FE8" w:rsidRDefault="003834D9" w:rsidP="009F2B88">
      <w:pPr>
        <w:jc w:val="both"/>
        <w:rPr>
          <w:rFonts w:asciiTheme="minorHAnsi" w:hAnsiTheme="minorHAnsi" w:cstheme="minorHAnsi"/>
          <w:highlight w:val="green"/>
        </w:rPr>
      </w:pPr>
    </w:p>
    <w:p w14:paraId="4AFE60CA"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En su Artículo 1 establece: Régimen aplicable. “Los intermediarios de seguros y reaseguros se encuentran sometidos a las disposiciones generales que regulan su actividad y a las normas especiales del presente Decreto”.   </w:t>
      </w:r>
    </w:p>
    <w:p w14:paraId="62A6F875" w14:textId="77777777" w:rsidR="007573ED" w:rsidRPr="007E6FE8" w:rsidRDefault="007573ED" w:rsidP="009F2B88">
      <w:pPr>
        <w:jc w:val="both"/>
        <w:rPr>
          <w:rFonts w:asciiTheme="minorHAnsi" w:hAnsiTheme="minorHAnsi" w:cstheme="minorHAnsi"/>
          <w:highlight w:val="green"/>
        </w:rPr>
      </w:pPr>
    </w:p>
    <w:p w14:paraId="1BD402BF"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Artículo 2 establece: Personas autorizadas. “La actividad de intermediación de seguros y reaseguros está reservada a las Sociedades Corredoras de Seguros, a las Sociedades Corredoras de Reaseguros, a las agencias colocadoras de seguros y a los agentes colocadores de pólizas de seguro, de acuerdo con su especialidad. La actividad de los intermediarios de seguros y reaseguros no inhabilita a las entidades aseguradoras para aceptar y ceder riesgos directamente, sin intervención de los intermediarios”.   </w:t>
      </w:r>
    </w:p>
    <w:p w14:paraId="5BDECFC7" w14:textId="77777777" w:rsidR="007573ED" w:rsidRPr="007E6FE8" w:rsidRDefault="007573ED" w:rsidP="009F2B88">
      <w:pPr>
        <w:jc w:val="both"/>
        <w:rPr>
          <w:rFonts w:asciiTheme="minorHAnsi" w:hAnsiTheme="minorHAnsi" w:cstheme="minorHAnsi"/>
          <w:highlight w:val="green"/>
        </w:rPr>
      </w:pPr>
    </w:p>
    <w:p w14:paraId="2F7A194D"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highlight w:val="green"/>
        </w:rPr>
        <w:t>LEY 42 DE 1993</w:t>
      </w:r>
      <w:r w:rsidRPr="007E6FE8">
        <w:rPr>
          <w:rFonts w:asciiTheme="minorHAnsi" w:hAnsiTheme="minorHAnsi" w:cstheme="minorHAnsi"/>
          <w:highlight w:val="green"/>
        </w:rPr>
        <w:t xml:space="preserve"> “sobre la organización del sistema de control fiscal financiero y los organismos que lo ejercen”.   </w:t>
      </w:r>
    </w:p>
    <w:p w14:paraId="7A29767C"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En su Artículo 101 establece: “Los contralores impondrán multas a los servidores públicos y particulares que manejen fondos o bienes del Estado, hasta por el valor de cinco (5) salarios devengados por el sancionado a quienes no comparezcan a las citaciones que en forma escrita les hagan las contralorías; no rindan las cuentas e informes exigidos o no lo hagan en la forma y oportunidad establecidos por ellas”.   </w:t>
      </w:r>
    </w:p>
    <w:p w14:paraId="3F18F781" w14:textId="77777777" w:rsidR="007573ED" w:rsidRPr="007E6FE8" w:rsidRDefault="007573ED" w:rsidP="009F2B88">
      <w:pPr>
        <w:jc w:val="both"/>
        <w:rPr>
          <w:rFonts w:asciiTheme="minorHAnsi" w:hAnsiTheme="minorHAnsi" w:cstheme="minorHAnsi"/>
          <w:highlight w:val="green"/>
        </w:rPr>
      </w:pPr>
    </w:p>
    <w:p w14:paraId="23B3793F"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En su Artículo 107 establece: “Los órganos de control fiscal verificarán que los bienes del Estado estén debidamente amparados por una póliza de seguros o un fondo especial creado para tal fin, pudiendo establecer responsabilidad fiscal a los tomadores cuando las circunstancias lo ameriten”.</w:t>
      </w:r>
    </w:p>
    <w:p w14:paraId="7ED80D9A" w14:textId="77777777" w:rsidR="007573ED" w:rsidRPr="007E6FE8" w:rsidRDefault="007573ED" w:rsidP="009F2B88">
      <w:pPr>
        <w:jc w:val="both"/>
        <w:rPr>
          <w:rFonts w:asciiTheme="minorHAnsi" w:hAnsiTheme="minorHAnsi" w:cstheme="minorHAnsi"/>
          <w:highlight w:val="green"/>
        </w:rPr>
      </w:pPr>
    </w:p>
    <w:p w14:paraId="373F25A7"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highlight w:val="green"/>
        </w:rPr>
        <w:t>LEY 222 DE 1995</w:t>
      </w:r>
      <w:r w:rsidRPr="007E6FE8">
        <w:rPr>
          <w:rFonts w:asciiTheme="minorHAnsi" w:hAnsiTheme="minorHAnsi" w:cstheme="minorHAnsi"/>
          <w:highlight w:val="green"/>
        </w:rPr>
        <w:t xml:space="preserve"> “por la cual se modifica el Libro II del Código de Comercio, se expide un nuevo régimen de procesos concursales y se dictan otras disposiciones”.   </w:t>
      </w:r>
    </w:p>
    <w:p w14:paraId="1E135FF9" w14:textId="77777777" w:rsidR="007573ED" w:rsidRPr="007E6FE8" w:rsidRDefault="007573ED" w:rsidP="009F2B88">
      <w:pPr>
        <w:jc w:val="both"/>
        <w:rPr>
          <w:rFonts w:asciiTheme="minorHAnsi" w:hAnsiTheme="minorHAnsi" w:cstheme="minorHAnsi"/>
          <w:highlight w:val="green"/>
        </w:rPr>
      </w:pPr>
    </w:p>
    <w:p w14:paraId="0C944140"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En el artículo 236 de la Ley 222 de 1995 se señala que "(...) lo dispuesto en esta ley se entenderá sin perjuicio de las normas tributarias y de las especiales aplicables a las sociedades sometidas a la inspección, vigilancia o control de entidades distintas a la Superintendencia de Sociedades (...)".   </w:t>
      </w:r>
    </w:p>
    <w:p w14:paraId="338277DE" w14:textId="77777777" w:rsidR="007573ED" w:rsidRPr="007E6FE8" w:rsidRDefault="007573ED" w:rsidP="009F2B88">
      <w:pPr>
        <w:jc w:val="both"/>
        <w:rPr>
          <w:rFonts w:asciiTheme="minorHAnsi" w:hAnsiTheme="minorHAnsi" w:cstheme="minorHAnsi"/>
          <w:highlight w:val="green"/>
        </w:rPr>
      </w:pPr>
    </w:p>
    <w:p w14:paraId="2E97F5F7"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En este sentido, el artículo 2º del prenombrado decreto, en concordancia con lo dispuesto en el artículo 5º del Estatuto </w:t>
      </w:r>
      <w:r w:rsidRPr="007E6FE8">
        <w:rPr>
          <w:rFonts w:asciiTheme="minorHAnsi" w:hAnsiTheme="minorHAnsi" w:cstheme="minorHAnsi"/>
          <w:highlight w:val="green"/>
        </w:rPr>
        <w:lastRenderedPageBreak/>
        <w:t xml:space="preserve">Orgánico del Sistema Financiero, prescribe que "La actividad de intermediación de seguros y reaseguros está reservada a las sociedades corredoras de seguros, a las sociedades corredoras de reaseguros, a las agencias colocadoras de seguros y a los agentes colocadores de pólizas de seguro, de acuerdo con su especialidad" refiriéndose a las personas autorizadas legalmente para ejercer la actividad de intermediación de seguros.   </w:t>
      </w:r>
    </w:p>
    <w:p w14:paraId="6042BAB5" w14:textId="77777777" w:rsidR="007573ED" w:rsidRPr="007E6FE8" w:rsidRDefault="007573ED" w:rsidP="009F2B88">
      <w:pPr>
        <w:jc w:val="both"/>
        <w:rPr>
          <w:rFonts w:asciiTheme="minorHAnsi" w:hAnsiTheme="minorHAnsi" w:cstheme="minorHAnsi"/>
          <w:highlight w:val="green"/>
        </w:rPr>
      </w:pPr>
    </w:p>
    <w:p w14:paraId="16C3C3AC"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Por su parte, en el Capítulo XII, Parte Primera del Estatuto Orgánico del Sistema Financiero se señalan las normas especiales que regulan a los intermediarios de seguros mencionados en la disposición antes transcrita. Es así como el numeral 1 de su artículo 40, modificado parcialmente por el artículo 101 de la Ley 510 de 1999, consagra la definición de las sociedades corredoras de seguros, prescribiendo que son corredores de seguros las empresas constituidas como sociedades anónimas "(...) cuyo objeto social sea exclusivamente ofrecer seguros, promover su celebración y obtener su renovación a título de intermediarios entre el asegurado y el asegurador".   </w:t>
      </w:r>
    </w:p>
    <w:p w14:paraId="0A4E7E9A" w14:textId="77777777" w:rsidR="007573ED" w:rsidRPr="007E6FE8" w:rsidRDefault="007573ED" w:rsidP="009F2B88">
      <w:pPr>
        <w:jc w:val="both"/>
        <w:rPr>
          <w:rFonts w:asciiTheme="minorHAnsi" w:hAnsiTheme="minorHAnsi" w:cstheme="minorHAnsi"/>
          <w:highlight w:val="green"/>
        </w:rPr>
      </w:pPr>
    </w:p>
    <w:p w14:paraId="6F366723"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De igual forma, el numeral 3 del artículo 41 del mismo estatuto dispone que "las agencias de seguros solamente podrán ser dirigidas por personas naturales y por sociedades de comercio colectivas, en comandita simple o de responsabilidad limitada, conforme a las normas mercantiles vigentes sobre la materia".   </w:t>
      </w:r>
    </w:p>
    <w:p w14:paraId="559D5F44" w14:textId="77777777" w:rsidR="007573ED" w:rsidRPr="007E6FE8" w:rsidRDefault="007573ED" w:rsidP="009F2B88">
      <w:pPr>
        <w:jc w:val="both"/>
        <w:rPr>
          <w:rFonts w:asciiTheme="minorHAnsi" w:hAnsiTheme="minorHAnsi" w:cstheme="minorHAnsi"/>
          <w:highlight w:val="green"/>
        </w:rPr>
      </w:pPr>
    </w:p>
    <w:p w14:paraId="151F98C3"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Del marco normativo expuesto se infiere que las disposiciones especiales que regulan la actividad de la intermediación de seguros prescriben la naturaleza jurídica que deben adoptar las personas jurídicas que pretendan dirigir una agencia colocadora de seguros, así como las sociedades corredoras de seguros. En este orden de ideas, no resultaría jurídicamente viable que una empresa unipersonal en los términos previstos en el Capítulo VIII de la Ley 222 de 1995 dirija una agencia de seguros ni se constituya como corredora de seguros toda vez que, como se indicó, en las normas que rigen estas figuras no se encuentra prevista la posibilidad de que la agencia sea dirigida por personas jurídicas diferentes de sociedades comerciales de responsabilidad limitada, colectivas o en comandita simple, ni que el corretaje de seguros sea ejercido por una sociedad distinta de la anónima.   </w:t>
      </w:r>
    </w:p>
    <w:p w14:paraId="25DFF6DE" w14:textId="77777777" w:rsidR="007573ED" w:rsidRPr="007E6FE8" w:rsidRDefault="007573ED" w:rsidP="009F2B88">
      <w:pPr>
        <w:jc w:val="both"/>
        <w:rPr>
          <w:rFonts w:asciiTheme="minorHAnsi" w:hAnsiTheme="minorHAnsi" w:cstheme="minorHAnsi"/>
          <w:highlight w:val="green"/>
        </w:rPr>
      </w:pPr>
    </w:p>
    <w:p w14:paraId="78342BCE"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highlight w:val="green"/>
        </w:rPr>
        <w:t>LEY 1952 de 2019</w:t>
      </w:r>
      <w:r w:rsidRPr="007E6FE8">
        <w:rPr>
          <w:rFonts w:asciiTheme="minorHAnsi" w:hAnsiTheme="minorHAnsi" w:cstheme="minorHAnsi"/>
          <w:highlight w:val="green"/>
        </w:rPr>
        <w:t xml:space="preserve"> “Por la cual se expide el Código Disciplinario Único”.   </w:t>
      </w:r>
    </w:p>
    <w:p w14:paraId="72BE5ACD" w14:textId="77777777" w:rsidR="009568AF" w:rsidRPr="007E6FE8" w:rsidRDefault="009568AF" w:rsidP="009F2B88">
      <w:pPr>
        <w:jc w:val="both"/>
        <w:rPr>
          <w:rFonts w:asciiTheme="minorHAnsi" w:hAnsiTheme="minorHAnsi" w:cstheme="minorHAnsi"/>
          <w:highlight w:val="green"/>
        </w:rPr>
      </w:pPr>
    </w:p>
    <w:p w14:paraId="04817C2B"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En su Artículo. 38, numeral 22 establece: “Vigilar y salvaguardar los bienes y valores que le han sido encomendados y cuidar que sean utilizados debida y racionalmente, de conformidad con los fines a que han sido destinados.”   </w:t>
      </w:r>
    </w:p>
    <w:p w14:paraId="76853AAF"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En su Artículo. 62, numeral 1 establece: “Dar lugar a que por culpa gravísima se extravíen, pierdan o dañen bienes del Estado o a cargo </w:t>
      </w:r>
      <w:proofErr w:type="gramStart"/>
      <w:r w:rsidRPr="007E6FE8">
        <w:rPr>
          <w:rFonts w:asciiTheme="minorHAnsi" w:hAnsiTheme="minorHAnsi" w:cstheme="minorHAnsi"/>
          <w:highlight w:val="green"/>
        </w:rPr>
        <w:t>del mismo</w:t>
      </w:r>
      <w:proofErr w:type="gramEnd"/>
      <w:r w:rsidRPr="007E6FE8">
        <w:rPr>
          <w:rFonts w:asciiTheme="minorHAnsi" w:hAnsiTheme="minorHAnsi" w:cstheme="minorHAnsi"/>
          <w:highlight w:val="green"/>
        </w:rPr>
        <w:t xml:space="preserve">, o de empresas o instituciones en que este tenga parte o bienes de particulares cuya administración o custodia se le haya confiado por razón de sus funciones, en cuantía igual o superior a quinientos (500) salarios mínimos legales mensuales.”   </w:t>
      </w:r>
    </w:p>
    <w:p w14:paraId="3A20248C" w14:textId="77777777" w:rsidR="009568AF" w:rsidRPr="007E6FE8" w:rsidRDefault="009568AF" w:rsidP="009F2B88">
      <w:pPr>
        <w:jc w:val="both"/>
        <w:rPr>
          <w:rFonts w:asciiTheme="minorHAnsi" w:hAnsiTheme="minorHAnsi" w:cstheme="minorHAnsi"/>
          <w:highlight w:val="green"/>
        </w:rPr>
      </w:pPr>
    </w:p>
    <w:p w14:paraId="70294D33"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 En su Artículo. 57, numeral 63 establece: FALTAS RELACIONADAS CON LA HACIENDA PÚBLICA. “No asegurar por su valor real los bienes del Estado ni hacer las apropiaciones presupuestales pertinentes.”.   </w:t>
      </w:r>
    </w:p>
    <w:p w14:paraId="35EACA80" w14:textId="77777777" w:rsidR="009568AF" w:rsidRPr="007E6FE8" w:rsidRDefault="009568AF" w:rsidP="009F2B88">
      <w:pPr>
        <w:jc w:val="both"/>
        <w:rPr>
          <w:rFonts w:asciiTheme="minorHAnsi" w:hAnsiTheme="minorHAnsi" w:cstheme="minorHAnsi"/>
          <w:highlight w:val="green"/>
        </w:rPr>
      </w:pPr>
    </w:p>
    <w:p w14:paraId="7B8380A7"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b/>
          <w:highlight w:val="green"/>
        </w:rPr>
        <w:t>LEY 1474 DE 2011</w:t>
      </w:r>
      <w:r w:rsidRPr="007E6FE8">
        <w:rPr>
          <w:rFonts w:asciiTheme="minorHAnsi" w:hAnsiTheme="minorHAnsi" w:cstheme="minorHAnsi"/>
          <w:highlight w:val="green"/>
        </w:rPr>
        <w:t xml:space="preserve"> “Por la cual se dictan normas orientadas a fortalecer los mecanismos de prevención, investigación y sanción de actos de corrupción y la efectividad del control de la gestión pública”.   </w:t>
      </w:r>
    </w:p>
    <w:p w14:paraId="1A58D26B" w14:textId="77777777" w:rsidR="009568AF" w:rsidRPr="007E6FE8" w:rsidRDefault="009568AF" w:rsidP="009F2B88">
      <w:pPr>
        <w:jc w:val="both"/>
        <w:rPr>
          <w:rFonts w:asciiTheme="minorHAnsi" w:hAnsiTheme="minorHAnsi" w:cstheme="minorHAnsi"/>
          <w:highlight w:val="green"/>
        </w:rPr>
      </w:pPr>
    </w:p>
    <w:p w14:paraId="7EEB92DB"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En su Artículo 118 establece: “Determinación de la culpabilidad en los procesos de responsabilidad fiscal. El grado de culpabilidad para establecer la existencia de responsabilidad fiscal será el dolo o la culpa grave”.   </w:t>
      </w:r>
    </w:p>
    <w:p w14:paraId="29059855" w14:textId="77777777" w:rsidR="009568AF" w:rsidRPr="007E6FE8" w:rsidRDefault="009568AF" w:rsidP="009F2B88">
      <w:pPr>
        <w:jc w:val="both"/>
        <w:rPr>
          <w:rFonts w:asciiTheme="minorHAnsi" w:hAnsiTheme="minorHAnsi" w:cstheme="minorHAnsi"/>
          <w:highlight w:val="green"/>
        </w:rPr>
      </w:pPr>
    </w:p>
    <w:p w14:paraId="2E6DD611"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Se presumirá que el gestor fiscal ha obrado con dolo cuando por los mismos hechos haya sido condenado penalmente o </w:t>
      </w:r>
      <w:r w:rsidRPr="007E6FE8">
        <w:rPr>
          <w:rFonts w:asciiTheme="minorHAnsi" w:hAnsiTheme="minorHAnsi" w:cstheme="minorHAnsi"/>
          <w:highlight w:val="green"/>
        </w:rPr>
        <w:lastRenderedPageBreak/>
        <w:t xml:space="preserve">sancionado disciplinariamente por la comisión de un delito o una falta disciplinaria imputados a ese título.   </w:t>
      </w:r>
    </w:p>
    <w:p w14:paraId="757EBCF1" w14:textId="77777777" w:rsidR="009568AF" w:rsidRPr="007E6FE8" w:rsidRDefault="009568AF" w:rsidP="009F2B88">
      <w:pPr>
        <w:jc w:val="both"/>
        <w:rPr>
          <w:rFonts w:asciiTheme="minorHAnsi" w:hAnsiTheme="minorHAnsi" w:cstheme="minorHAnsi"/>
          <w:highlight w:val="green"/>
        </w:rPr>
      </w:pPr>
    </w:p>
    <w:p w14:paraId="46BA236A"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Se presumirá que el gestor fiscal ha obrado con culpa grave en los siguientes eventos: (…)  d) Cuando se haya incumplido la obligación de asegurar los bienes de la entidad o la de hacer exigibles las pólizas o garantías frente al acaecimiento de los siniestros o el incumplimiento de los contratos.   </w:t>
      </w:r>
    </w:p>
    <w:p w14:paraId="61FE1BAD" w14:textId="77777777" w:rsidR="009F2B88" w:rsidRPr="007E6FE8" w:rsidRDefault="009F2B88" w:rsidP="009F2B88">
      <w:pPr>
        <w:jc w:val="both"/>
        <w:rPr>
          <w:rFonts w:asciiTheme="minorHAnsi" w:hAnsiTheme="minorHAnsi" w:cstheme="minorHAnsi"/>
          <w:highlight w:val="green"/>
        </w:rPr>
      </w:pPr>
    </w:p>
    <w:p w14:paraId="6C78AD96" w14:textId="77777777" w:rsidR="009F2B88" w:rsidRPr="007E6FE8" w:rsidRDefault="009F2B88" w:rsidP="009F2B88">
      <w:pPr>
        <w:jc w:val="both"/>
        <w:rPr>
          <w:rFonts w:asciiTheme="minorHAnsi" w:hAnsiTheme="minorHAnsi" w:cstheme="minorHAnsi"/>
          <w:b/>
          <w:highlight w:val="green"/>
        </w:rPr>
      </w:pPr>
      <w:r w:rsidRPr="007E6FE8">
        <w:rPr>
          <w:rFonts w:asciiTheme="minorHAnsi" w:hAnsiTheme="minorHAnsi" w:cstheme="minorHAnsi"/>
          <w:b/>
          <w:highlight w:val="green"/>
        </w:rPr>
        <w:t xml:space="preserve">CIRCULAR CONJUNTA 02 DE 2003   </w:t>
      </w:r>
    </w:p>
    <w:p w14:paraId="2819EC21" w14:textId="77777777" w:rsidR="009568AF" w:rsidRPr="007E6FE8" w:rsidRDefault="009568AF" w:rsidP="009F2B88">
      <w:pPr>
        <w:jc w:val="both"/>
        <w:rPr>
          <w:rFonts w:asciiTheme="minorHAnsi" w:hAnsiTheme="minorHAnsi" w:cstheme="minorHAnsi"/>
          <w:b/>
          <w:highlight w:val="green"/>
        </w:rPr>
      </w:pPr>
    </w:p>
    <w:p w14:paraId="6CA8495A"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Mediante la citada circular conjunta suscrita por el Contralor General de la República y el Procurador General de la Nación, se señalan los deberes de las entidades en la administración y cuidado de los bienes, la responsabilidad fiscal y disciplinaria de los funcionarios públicos por perdida o daño de los bienes a su cargo, entre otros.   </w:t>
      </w:r>
    </w:p>
    <w:p w14:paraId="47560D75" w14:textId="77777777" w:rsidR="009568AF" w:rsidRPr="007E6FE8" w:rsidRDefault="009568AF" w:rsidP="009F2B88">
      <w:pPr>
        <w:jc w:val="both"/>
        <w:rPr>
          <w:rFonts w:asciiTheme="minorHAnsi" w:hAnsiTheme="minorHAnsi" w:cstheme="minorHAnsi"/>
          <w:highlight w:val="green"/>
        </w:rPr>
      </w:pPr>
    </w:p>
    <w:p w14:paraId="0F12F743"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En consideración a las disposiciones referidas, se concluye que quienes administran y tienen control sobre bienes fiscales, tienen el deber adicional de mantener debidamente asegurados los bienes que conforman el patrimonio del estado, tomando las medidas necesarias para evitar la pérdida de </w:t>
      </w:r>
      <w:proofErr w:type="gramStart"/>
      <w:r w:rsidRPr="007E6FE8">
        <w:rPr>
          <w:rFonts w:asciiTheme="minorHAnsi" w:hAnsiTheme="minorHAnsi" w:cstheme="minorHAnsi"/>
          <w:highlight w:val="green"/>
        </w:rPr>
        <w:t>los mismos</w:t>
      </w:r>
      <w:proofErr w:type="gramEnd"/>
      <w:r w:rsidRPr="007E6FE8">
        <w:rPr>
          <w:rFonts w:asciiTheme="minorHAnsi" w:hAnsiTheme="minorHAnsi" w:cstheme="minorHAnsi"/>
          <w:highlight w:val="green"/>
        </w:rPr>
        <w:t xml:space="preserve">.   </w:t>
      </w:r>
    </w:p>
    <w:p w14:paraId="337D004A" w14:textId="77777777" w:rsidR="009568AF" w:rsidRPr="007E6FE8" w:rsidRDefault="009568AF" w:rsidP="009F2B88">
      <w:pPr>
        <w:jc w:val="both"/>
        <w:rPr>
          <w:rFonts w:asciiTheme="minorHAnsi" w:hAnsiTheme="minorHAnsi" w:cstheme="minorHAnsi"/>
          <w:highlight w:val="green"/>
        </w:rPr>
      </w:pPr>
    </w:p>
    <w:p w14:paraId="65A478AA" w14:textId="77777777" w:rsidR="009F2B88" w:rsidRPr="007E6FE8" w:rsidRDefault="009F2B88" w:rsidP="009F2B88">
      <w:pPr>
        <w:jc w:val="both"/>
        <w:rPr>
          <w:rFonts w:asciiTheme="minorHAnsi" w:hAnsiTheme="minorHAnsi" w:cstheme="minorHAnsi"/>
          <w:highlight w:val="green"/>
        </w:rPr>
      </w:pPr>
      <w:r w:rsidRPr="007E6FE8">
        <w:rPr>
          <w:rFonts w:asciiTheme="minorHAnsi" w:hAnsiTheme="minorHAnsi" w:cstheme="minorHAnsi"/>
          <w:highlight w:val="green"/>
        </w:rPr>
        <w:t xml:space="preserve">Así mismo, la Corte Constitucional mediante sentencia C-735 de 2003 estableció: “(…) [L]as entidades estatales deben velar porque sus bienes en general estén protegidos contra hechos futuros e inciertos que puedan causarle perjuicio o detrimento al funcionario público. En este sentido, los órganos de control fiscal deben verificar que los bienes públicos, se encuentren asegurados adecuadamente, es decir, que estos tengan la cobertura suficiente, con el fin de que el </w:t>
      </w:r>
      <w:proofErr w:type="gramStart"/>
      <w:r w:rsidRPr="007E6FE8">
        <w:rPr>
          <w:rFonts w:asciiTheme="minorHAnsi" w:hAnsiTheme="minorHAnsi" w:cstheme="minorHAnsi"/>
          <w:highlight w:val="green"/>
        </w:rPr>
        <w:t>erario público</w:t>
      </w:r>
      <w:proofErr w:type="gramEnd"/>
      <w:r w:rsidRPr="007E6FE8">
        <w:rPr>
          <w:rFonts w:asciiTheme="minorHAnsi" w:hAnsiTheme="minorHAnsi" w:cstheme="minorHAnsi"/>
          <w:highlight w:val="green"/>
        </w:rPr>
        <w:t xml:space="preserve"> esté cubierto contra cualquier desmedro, que el hecho de un tercero o uno de sus funcionarios pueda ocasionarle, de manera tal que sea resarcido de los daños ocasionados por la ocurrencia del siniestro o riesgo asegurado.”   </w:t>
      </w:r>
    </w:p>
    <w:p w14:paraId="368B9BC9" w14:textId="77777777" w:rsidR="009568AF" w:rsidRPr="007E6FE8" w:rsidRDefault="009568AF" w:rsidP="009F2B88">
      <w:pPr>
        <w:jc w:val="both"/>
        <w:rPr>
          <w:rFonts w:asciiTheme="minorHAnsi" w:hAnsiTheme="minorHAnsi" w:cstheme="minorHAnsi"/>
          <w:highlight w:val="green"/>
        </w:rPr>
      </w:pPr>
    </w:p>
    <w:p w14:paraId="71B5FBDB" w14:textId="77777777" w:rsidR="009F2B88" w:rsidRDefault="009F2B88" w:rsidP="009F2B88">
      <w:pPr>
        <w:jc w:val="both"/>
        <w:rPr>
          <w:rFonts w:asciiTheme="minorHAnsi" w:hAnsiTheme="minorHAnsi" w:cstheme="minorHAnsi"/>
        </w:rPr>
      </w:pPr>
      <w:r w:rsidRPr="007E6FE8">
        <w:rPr>
          <w:rFonts w:asciiTheme="minorHAnsi" w:hAnsiTheme="minorHAnsi" w:cstheme="minorHAnsi"/>
          <w:highlight w:val="green"/>
        </w:rPr>
        <w:t xml:space="preserve">En consideración a las disposiciones referidas, se concluye que quienes administran y tienen control sobre bienes fiscales, tienen el deber adicional de mantener debidamente asegurados los bienes que conforman el patrimonio del estado, tomando las medidas necesarias para evitar la pérdida de </w:t>
      </w:r>
      <w:proofErr w:type="gramStart"/>
      <w:r w:rsidRPr="007E6FE8">
        <w:rPr>
          <w:rFonts w:asciiTheme="minorHAnsi" w:hAnsiTheme="minorHAnsi" w:cstheme="minorHAnsi"/>
          <w:highlight w:val="green"/>
        </w:rPr>
        <w:t>los mismos</w:t>
      </w:r>
      <w:proofErr w:type="gramEnd"/>
      <w:r w:rsidRPr="007E6FE8">
        <w:rPr>
          <w:rFonts w:asciiTheme="minorHAnsi" w:hAnsiTheme="minorHAnsi" w:cstheme="minorHAnsi"/>
          <w:highlight w:val="green"/>
        </w:rPr>
        <w:t>.</w:t>
      </w:r>
    </w:p>
    <w:p w14:paraId="6D8BE230" w14:textId="77777777" w:rsidR="009F2B88" w:rsidRPr="00041902" w:rsidRDefault="009F2B88" w:rsidP="009F2B88">
      <w:pPr>
        <w:jc w:val="both"/>
        <w:rPr>
          <w:rFonts w:asciiTheme="minorHAnsi" w:hAnsiTheme="minorHAnsi" w:cstheme="minorHAnsi"/>
        </w:rPr>
      </w:pPr>
    </w:p>
    <w:p w14:paraId="2A713F5A" w14:textId="77777777" w:rsidR="009F2B88" w:rsidRPr="004C400F" w:rsidRDefault="009F2B88" w:rsidP="009F2B88">
      <w:pPr>
        <w:pStyle w:val="Prrafodelista"/>
        <w:widowControl/>
        <w:numPr>
          <w:ilvl w:val="1"/>
          <w:numId w:val="12"/>
        </w:numPr>
        <w:autoSpaceDE/>
        <w:autoSpaceDN/>
        <w:spacing w:after="160" w:line="259" w:lineRule="auto"/>
        <w:contextualSpacing/>
        <w:jc w:val="both"/>
        <w:rPr>
          <w:rFonts w:asciiTheme="minorHAnsi" w:hAnsiTheme="minorHAnsi" w:cstheme="minorHAnsi"/>
        </w:rPr>
      </w:pPr>
      <w:r w:rsidRPr="00041902">
        <w:rPr>
          <w:rFonts w:asciiTheme="minorHAnsi" w:hAnsiTheme="minorHAnsi" w:cstheme="minorHAnsi"/>
          <w:b/>
        </w:rPr>
        <w:t>ESTUDIO DE LA OFERTA</w:t>
      </w:r>
    </w:p>
    <w:p w14:paraId="55983989" w14:textId="77777777" w:rsidR="009F2B88" w:rsidRPr="00041902" w:rsidRDefault="009F2B88" w:rsidP="009F2B88">
      <w:pPr>
        <w:pStyle w:val="Prrafodelista"/>
        <w:ind w:left="855"/>
        <w:jc w:val="both"/>
        <w:rPr>
          <w:rFonts w:asciiTheme="minorHAnsi" w:hAnsiTheme="minorHAnsi" w:cstheme="minorHAnsi"/>
        </w:rPr>
      </w:pPr>
    </w:p>
    <w:p w14:paraId="4BE40E71" w14:textId="77777777" w:rsidR="009F2B88" w:rsidRDefault="009F2B88" w:rsidP="009F2B88">
      <w:pPr>
        <w:jc w:val="both"/>
        <w:rPr>
          <w:rFonts w:asciiTheme="minorHAnsi" w:hAnsiTheme="minorHAnsi" w:cstheme="minorHAnsi"/>
          <w:spacing w:val="-3"/>
        </w:rPr>
      </w:pPr>
      <w:r w:rsidRPr="00041902">
        <w:rPr>
          <w:rFonts w:asciiTheme="minorHAnsi" w:hAnsiTheme="minorHAnsi" w:cstheme="minorHAnsi"/>
          <w:b/>
          <w:spacing w:val="-3"/>
        </w:rPr>
        <w:t>¿QUIÉN VENDE?</w:t>
      </w:r>
      <w:r w:rsidRPr="00041902">
        <w:rPr>
          <w:rFonts w:asciiTheme="minorHAnsi" w:hAnsiTheme="minorHAnsi" w:cstheme="minorHAnsi"/>
          <w:spacing w:val="-3"/>
        </w:rPr>
        <w:t>:</w:t>
      </w:r>
    </w:p>
    <w:p w14:paraId="632745CB" w14:textId="77777777" w:rsidR="009568AF" w:rsidRPr="00041902" w:rsidRDefault="009568AF" w:rsidP="009F2B88">
      <w:pPr>
        <w:jc w:val="both"/>
        <w:rPr>
          <w:rFonts w:asciiTheme="minorHAnsi" w:hAnsiTheme="minorHAnsi" w:cstheme="minorHAnsi"/>
          <w:b/>
        </w:rPr>
      </w:pPr>
    </w:p>
    <w:p w14:paraId="070ADE72" w14:textId="77777777" w:rsidR="009F2B88" w:rsidRPr="00AE612E" w:rsidRDefault="009F2B88" w:rsidP="009F2B88">
      <w:pPr>
        <w:tabs>
          <w:tab w:val="left" w:pos="360"/>
        </w:tabs>
        <w:ind w:right="88"/>
        <w:jc w:val="both"/>
        <w:rPr>
          <w:rFonts w:asciiTheme="minorHAnsi" w:hAnsiTheme="minorHAnsi" w:cstheme="minorHAnsi"/>
          <w:highlight w:val="green"/>
        </w:rPr>
      </w:pPr>
      <w:r w:rsidRPr="00AE612E">
        <w:rPr>
          <w:rFonts w:asciiTheme="minorHAnsi" w:hAnsiTheme="minorHAnsi" w:cstheme="minorHAnsi"/>
          <w:highlight w:val="green"/>
        </w:rPr>
        <w:t>Dentro del presente análisis se determina que proveedores existen en el mercado, es decir, los intermediarios de seguros que se encuentran autorizados para ejercer la actividad. Del análisis se concluye que los intermediarios de seguros se dividen en corredores, agencias y agentes de Seguros, en el presente proceso participarán corredores de seguros así mismo es importante mencionar que la autorización para ejercer su actividad se debe demostrar con los siguientes documentos: CORREDORES DE SEGUROS: Certificación expedida por la Superintendencia Financiera de Colombia AGENCIA O AGENTES DE SEGUROS: Certificación expedida por una Compañía de Seguros, donde se demuestre su idoneidad. Se consultó la página oficial de la Federación de Aseguradores Colombianos (</w:t>
      </w:r>
      <w:proofErr w:type="spellStart"/>
      <w:r w:rsidRPr="00AE612E">
        <w:rPr>
          <w:rFonts w:asciiTheme="minorHAnsi" w:hAnsiTheme="minorHAnsi" w:cstheme="minorHAnsi"/>
          <w:highlight w:val="green"/>
        </w:rPr>
        <w:t>Fasecolda</w:t>
      </w:r>
      <w:proofErr w:type="spellEnd"/>
      <w:r w:rsidRPr="00AE612E">
        <w:rPr>
          <w:rFonts w:asciiTheme="minorHAnsi" w:hAnsiTheme="minorHAnsi" w:cstheme="minorHAnsi"/>
          <w:highlight w:val="green"/>
        </w:rPr>
        <w:t>), de la cual se tomó una muestra de agencias y corredores de seguros así:</w:t>
      </w:r>
    </w:p>
    <w:p w14:paraId="47046347" w14:textId="77777777" w:rsidR="009F2B88" w:rsidRPr="00AE612E" w:rsidRDefault="009F2B88" w:rsidP="009F2B88">
      <w:pPr>
        <w:tabs>
          <w:tab w:val="left" w:pos="360"/>
        </w:tabs>
        <w:ind w:right="88"/>
        <w:jc w:val="both"/>
        <w:rPr>
          <w:rFonts w:asciiTheme="minorHAnsi" w:hAnsiTheme="minorHAnsi" w:cstheme="minorHAnsi"/>
          <w:highlight w:val="green"/>
        </w:rPr>
      </w:pPr>
    </w:p>
    <w:p w14:paraId="0E61668C" w14:textId="77777777" w:rsidR="009F2B88" w:rsidRPr="00AE612E" w:rsidRDefault="009F2B88" w:rsidP="009F2B88">
      <w:pPr>
        <w:tabs>
          <w:tab w:val="left" w:pos="360"/>
        </w:tabs>
        <w:ind w:right="88"/>
        <w:jc w:val="both"/>
        <w:rPr>
          <w:rFonts w:asciiTheme="minorHAnsi" w:hAnsiTheme="minorHAnsi" w:cstheme="minorHAnsi"/>
          <w:highlight w:val="green"/>
        </w:rPr>
      </w:pPr>
    </w:p>
    <w:p w14:paraId="49A7D4D6" w14:textId="77777777" w:rsidR="009F2B88" w:rsidRPr="00AE612E" w:rsidRDefault="009F2B88" w:rsidP="009F2B88">
      <w:pPr>
        <w:tabs>
          <w:tab w:val="left" w:pos="360"/>
        </w:tabs>
        <w:ind w:right="88"/>
        <w:jc w:val="both"/>
        <w:rPr>
          <w:rFonts w:asciiTheme="minorHAnsi" w:hAnsiTheme="minorHAnsi" w:cstheme="minorHAnsi"/>
          <w:highlight w:val="green"/>
        </w:rPr>
      </w:pPr>
    </w:p>
    <w:p w14:paraId="469CF6A0" w14:textId="77777777" w:rsidR="009F2B88" w:rsidRPr="00AE612E" w:rsidRDefault="009F2B88" w:rsidP="009F2B88">
      <w:pPr>
        <w:tabs>
          <w:tab w:val="left" w:pos="360"/>
        </w:tabs>
        <w:ind w:right="88"/>
        <w:jc w:val="both"/>
        <w:rPr>
          <w:rFonts w:asciiTheme="minorHAnsi" w:hAnsiTheme="minorHAnsi" w:cstheme="minorHAnsi"/>
          <w:highlight w:val="green"/>
        </w:rPr>
      </w:pPr>
    </w:p>
    <w:p w14:paraId="0EAE2CA6" w14:textId="77777777" w:rsidR="009F2B88" w:rsidRPr="00AE612E" w:rsidRDefault="009F2B88" w:rsidP="009F2B88">
      <w:pPr>
        <w:tabs>
          <w:tab w:val="left" w:pos="360"/>
        </w:tabs>
        <w:ind w:right="88"/>
        <w:jc w:val="both"/>
        <w:rPr>
          <w:rFonts w:asciiTheme="minorHAnsi" w:hAnsiTheme="minorHAnsi" w:cstheme="minorHAnsi"/>
          <w:highlight w:val="green"/>
        </w:rPr>
      </w:pPr>
    </w:p>
    <w:p w14:paraId="4AF38B96" w14:textId="77777777" w:rsidR="009F2B88" w:rsidRPr="00AE612E" w:rsidRDefault="009F2B88" w:rsidP="009F2B88">
      <w:pPr>
        <w:tabs>
          <w:tab w:val="left" w:pos="360"/>
        </w:tabs>
        <w:ind w:right="88"/>
        <w:jc w:val="both"/>
        <w:rPr>
          <w:rFonts w:asciiTheme="minorHAnsi" w:hAnsiTheme="minorHAnsi" w:cstheme="minorHAnsi"/>
          <w:highlight w:val="green"/>
        </w:rPr>
      </w:pPr>
    </w:p>
    <w:p w14:paraId="7C3EC491" w14:textId="77777777" w:rsidR="009F2B88" w:rsidRPr="00AE612E" w:rsidRDefault="009F2B88" w:rsidP="009F2B88">
      <w:pPr>
        <w:jc w:val="both"/>
        <w:rPr>
          <w:rFonts w:asciiTheme="minorHAnsi" w:hAnsiTheme="minorHAnsi" w:cstheme="minorHAnsi"/>
          <w:b/>
          <w:highlight w:val="green"/>
        </w:rPr>
      </w:pPr>
      <w:r w:rsidRPr="00AE612E">
        <w:rPr>
          <w:rFonts w:asciiTheme="minorHAnsi" w:hAnsiTheme="minorHAnsi" w:cstheme="minorHAnsi"/>
          <w:noProof/>
          <w:highlight w:val="green"/>
          <w:lang w:val="en-US"/>
        </w:rPr>
        <w:drawing>
          <wp:inline distT="0" distB="0" distL="0" distR="0" wp14:anchorId="7EB12399" wp14:editId="6CAFADD9">
            <wp:extent cx="5400040" cy="2724150"/>
            <wp:effectExtent l="19050" t="19050" r="10160" b="19050"/>
            <wp:docPr id="1605955195"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55195" name="Imagen 3" descr="Tabl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6263" cy="2732334"/>
                    </a:xfrm>
                    <a:prstGeom prst="rect">
                      <a:avLst/>
                    </a:prstGeom>
                    <a:noFill/>
                    <a:ln>
                      <a:solidFill>
                        <a:schemeClr val="accent1"/>
                      </a:solidFill>
                    </a:ln>
                  </pic:spPr>
                </pic:pic>
              </a:graphicData>
            </a:graphic>
          </wp:inline>
        </w:drawing>
      </w:r>
    </w:p>
    <w:p w14:paraId="0F07EF08" w14:textId="77777777" w:rsidR="009F2B88" w:rsidRPr="00AE612E" w:rsidRDefault="009F2B88" w:rsidP="009F2B88">
      <w:pPr>
        <w:jc w:val="both"/>
        <w:rPr>
          <w:rFonts w:asciiTheme="minorHAnsi" w:hAnsiTheme="minorHAnsi" w:cstheme="minorHAnsi"/>
          <w:b/>
          <w:highlight w:val="green"/>
        </w:rPr>
      </w:pPr>
    </w:p>
    <w:p w14:paraId="3E69BF3A" w14:textId="77777777" w:rsidR="009F2B88" w:rsidRPr="00AE612E" w:rsidRDefault="009F2B88" w:rsidP="009F2B88">
      <w:pPr>
        <w:pStyle w:val="Prrafodelista"/>
        <w:widowControl/>
        <w:numPr>
          <w:ilvl w:val="1"/>
          <w:numId w:val="12"/>
        </w:numPr>
        <w:autoSpaceDE/>
        <w:autoSpaceDN/>
        <w:contextualSpacing/>
        <w:jc w:val="both"/>
        <w:rPr>
          <w:rFonts w:asciiTheme="minorHAnsi" w:hAnsiTheme="minorHAnsi" w:cstheme="minorHAnsi"/>
          <w:b/>
          <w:highlight w:val="green"/>
        </w:rPr>
      </w:pPr>
      <w:r w:rsidRPr="00AE612E">
        <w:rPr>
          <w:rFonts w:asciiTheme="minorHAnsi" w:hAnsiTheme="minorHAnsi" w:cstheme="minorHAnsi"/>
          <w:b/>
          <w:highlight w:val="green"/>
        </w:rPr>
        <w:t>ESTUDIO DE LA DEMANDA</w:t>
      </w:r>
    </w:p>
    <w:p w14:paraId="79D9EC2F" w14:textId="77777777" w:rsidR="009F2B88" w:rsidRPr="00AE612E" w:rsidRDefault="009F2B88" w:rsidP="009F2B88">
      <w:pPr>
        <w:ind w:left="360"/>
        <w:jc w:val="both"/>
        <w:rPr>
          <w:rFonts w:asciiTheme="minorHAnsi" w:hAnsiTheme="minorHAnsi" w:cstheme="minorHAnsi"/>
          <w:b/>
          <w:highlight w:val="green"/>
        </w:rPr>
      </w:pPr>
    </w:p>
    <w:p w14:paraId="3846B84B" w14:textId="77777777" w:rsidR="009F2B88" w:rsidRPr="00AE612E" w:rsidRDefault="009F2B88" w:rsidP="009F2B88">
      <w:pPr>
        <w:jc w:val="both"/>
        <w:rPr>
          <w:rFonts w:asciiTheme="minorHAnsi" w:hAnsiTheme="minorHAnsi" w:cstheme="minorHAnsi"/>
          <w:b/>
          <w:spacing w:val="-3"/>
          <w:highlight w:val="green"/>
        </w:rPr>
      </w:pPr>
      <w:r w:rsidRPr="00AE612E">
        <w:rPr>
          <w:rFonts w:asciiTheme="minorHAnsi" w:hAnsiTheme="minorHAnsi" w:cstheme="minorHAnsi"/>
          <w:b/>
          <w:spacing w:val="-3"/>
          <w:highlight w:val="green"/>
        </w:rPr>
        <w:t>¿CÓMO HA ADQUIRIDO EN EL PASADO ESTE BIEN, OBRA O SERVICIO?:</w:t>
      </w:r>
    </w:p>
    <w:p w14:paraId="0C18DA69" w14:textId="77777777" w:rsidR="009F2B88" w:rsidRPr="00AE612E" w:rsidRDefault="009F2B88" w:rsidP="009F2B88">
      <w:pPr>
        <w:jc w:val="both"/>
        <w:rPr>
          <w:rFonts w:asciiTheme="minorHAnsi" w:hAnsiTheme="minorHAnsi" w:cstheme="minorHAnsi"/>
          <w:b/>
          <w:spacing w:val="-3"/>
          <w:highlight w:val="green"/>
        </w:rPr>
      </w:pPr>
    </w:p>
    <w:p w14:paraId="307F945C" w14:textId="77777777" w:rsidR="009F2B88" w:rsidRPr="00AE612E" w:rsidRDefault="009F2B88" w:rsidP="009F2B88">
      <w:pPr>
        <w:jc w:val="both"/>
        <w:rPr>
          <w:rFonts w:asciiTheme="minorHAnsi" w:hAnsiTheme="minorHAnsi" w:cstheme="minorHAnsi"/>
          <w:highlight w:val="green"/>
        </w:rPr>
      </w:pPr>
      <w:r w:rsidRPr="00AE612E">
        <w:rPr>
          <w:rFonts w:asciiTheme="minorHAnsi" w:hAnsiTheme="minorHAnsi" w:cstheme="minorHAnsi"/>
          <w:highlight w:val="green"/>
        </w:rPr>
        <w:t xml:space="preserve">La Corporación Gilberto Echeverri Mejía ha adquirido este servicio en el pasado mediante procesos para la selección de corredor de seguros. </w:t>
      </w:r>
    </w:p>
    <w:p w14:paraId="17F1F110" w14:textId="6A8B5E0B" w:rsidR="009F2B88" w:rsidRPr="00AE612E" w:rsidRDefault="009F2B88" w:rsidP="009F2B88">
      <w:pPr>
        <w:jc w:val="both"/>
        <w:rPr>
          <w:rFonts w:asciiTheme="minorHAnsi" w:hAnsiTheme="minorHAnsi" w:cstheme="minorHAnsi"/>
          <w:highlight w:val="green"/>
        </w:rPr>
      </w:pPr>
      <w:r w:rsidRPr="00AE612E">
        <w:rPr>
          <w:rFonts w:asciiTheme="minorHAnsi" w:hAnsiTheme="minorHAnsi" w:cstheme="minorHAnsi"/>
          <w:highlight w:val="green"/>
        </w:rPr>
        <w:t>Durante la última década, la entidad ha realizado cuatro (4) procesos de selección para la contratación de intermediario de seguros. La información de dichos procesos es la siguiente:</w:t>
      </w:r>
    </w:p>
    <w:p w14:paraId="37B9AF35" w14:textId="77777777" w:rsidR="009F2B88" w:rsidRPr="00AE612E" w:rsidRDefault="009F2B88" w:rsidP="009F2B88">
      <w:pPr>
        <w:jc w:val="both"/>
        <w:rPr>
          <w:rFonts w:asciiTheme="minorHAnsi" w:hAnsiTheme="minorHAnsi" w:cstheme="minorHAnsi"/>
          <w:highlight w:val="green"/>
        </w:rPr>
      </w:pPr>
    </w:p>
    <w:tbl>
      <w:tblPr>
        <w:tblW w:w="0" w:type="auto"/>
        <w:tblCellMar>
          <w:left w:w="70" w:type="dxa"/>
          <w:right w:w="70" w:type="dxa"/>
        </w:tblCellMar>
        <w:tblLook w:val="04A0" w:firstRow="1" w:lastRow="0" w:firstColumn="1" w:lastColumn="0" w:noHBand="0" w:noVBand="1"/>
      </w:tblPr>
      <w:tblGrid>
        <w:gridCol w:w="2098"/>
        <w:gridCol w:w="2094"/>
        <w:gridCol w:w="4860"/>
        <w:gridCol w:w="1255"/>
      </w:tblGrid>
      <w:tr w:rsidR="009F2B88" w:rsidRPr="00AE612E" w14:paraId="42313940" w14:textId="77777777" w:rsidTr="00A616D0">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14:paraId="6983472A" w14:textId="77777777" w:rsidR="009F2B88" w:rsidRPr="00AE612E" w:rsidRDefault="009F2B88" w:rsidP="00A616D0">
            <w:pPr>
              <w:rPr>
                <w:rFonts w:asciiTheme="minorHAnsi" w:eastAsia="Times New Roman" w:hAnsiTheme="minorHAnsi" w:cstheme="minorHAnsi"/>
                <w:b/>
                <w:bCs/>
                <w:color w:val="000000"/>
                <w:highlight w:val="green"/>
              </w:rPr>
            </w:pPr>
            <w:r w:rsidRPr="00AE612E">
              <w:rPr>
                <w:rFonts w:asciiTheme="minorHAnsi" w:eastAsia="Times New Roman" w:hAnsiTheme="minorHAnsi" w:cstheme="minorHAnsi"/>
                <w:b/>
                <w:bCs/>
                <w:color w:val="000000"/>
                <w:highlight w:val="green"/>
              </w:rPr>
              <w:t>NUMERO CONCURSO</w:t>
            </w:r>
          </w:p>
        </w:tc>
        <w:tc>
          <w:tcPr>
            <w:tcW w:w="2094" w:type="dxa"/>
            <w:tcBorders>
              <w:top w:val="single" w:sz="4" w:space="0" w:color="auto"/>
              <w:left w:val="nil"/>
              <w:bottom w:val="single" w:sz="4" w:space="0" w:color="auto"/>
              <w:right w:val="single" w:sz="4" w:space="0" w:color="auto"/>
            </w:tcBorders>
            <w:shd w:val="clear" w:color="000000" w:fill="D9D9D9"/>
            <w:vAlign w:val="center"/>
            <w:hideMark/>
          </w:tcPr>
          <w:p w14:paraId="6C4DF7F6" w14:textId="77777777" w:rsidR="009F2B88" w:rsidRPr="00AE612E" w:rsidRDefault="009F2B88" w:rsidP="00A616D0">
            <w:pPr>
              <w:ind w:firstLineChars="300" w:firstLine="663"/>
              <w:rPr>
                <w:rFonts w:asciiTheme="minorHAnsi" w:eastAsia="Times New Roman" w:hAnsiTheme="minorHAnsi" w:cstheme="minorHAnsi"/>
                <w:b/>
                <w:bCs/>
                <w:color w:val="000000"/>
                <w:highlight w:val="green"/>
              </w:rPr>
            </w:pPr>
            <w:r w:rsidRPr="00AE612E">
              <w:rPr>
                <w:rFonts w:asciiTheme="minorHAnsi" w:eastAsia="Times New Roman" w:hAnsiTheme="minorHAnsi" w:cstheme="minorHAnsi"/>
                <w:b/>
                <w:bCs/>
                <w:color w:val="000000"/>
                <w:highlight w:val="green"/>
              </w:rPr>
              <w:t>CONTRATISTA</w:t>
            </w:r>
          </w:p>
        </w:tc>
        <w:tc>
          <w:tcPr>
            <w:tcW w:w="4860" w:type="dxa"/>
            <w:tcBorders>
              <w:top w:val="single" w:sz="4" w:space="0" w:color="auto"/>
              <w:left w:val="nil"/>
              <w:bottom w:val="single" w:sz="4" w:space="0" w:color="auto"/>
              <w:right w:val="single" w:sz="4" w:space="0" w:color="auto"/>
            </w:tcBorders>
            <w:shd w:val="clear" w:color="000000" w:fill="D9D9D9"/>
            <w:vAlign w:val="center"/>
            <w:hideMark/>
          </w:tcPr>
          <w:p w14:paraId="062E932E" w14:textId="77777777" w:rsidR="009F2B88" w:rsidRPr="00AE612E" w:rsidRDefault="009F2B88" w:rsidP="00A616D0">
            <w:pPr>
              <w:jc w:val="center"/>
              <w:rPr>
                <w:rFonts w:asciiTheme="minorHAnsi" w:eastAsia="Times New Roman" w:hAnsiTheme="minorHAnsi" w:cstheme="minorHAnsi"/>
                <w:b/>
                <w:bCs/>
                <w:color w:val="000000"/>
                <w:highlight w:val="green"/>
              </w:rPr>
            </w:pPr>
            <w:r w:rsidRPr="00AE612E">
              <w:rPr>
                <w:rFonts w:asciiTheme="minorHAnsi" w:eastAsia="Times New Roman" w:hAnsiTheme="minorHAnsi" w:cstheme="minorHAnsi"/>
                <w:b/>
                <w:bCs/>
                <w:color w:val="000000"/>
                <w:highlight w:val="green"/>
              </w:rPr>
              <w:t>OBJETO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43D0F419" w14:textId="77777777" w:rsidR="009F2B88" w:rsidRPr="00AE612E" w:rsidRDefault="009F2B88" w:rsidP="00A616D0">
            <w:pPr>
              <w:ind w:firstLineChars="200" w:firstLine="442"/>
              <w:rPr>
                <w:rFonts w:asciiTheme="minorHAnsi" w:eastAsia="Times New Roman" w:hAnsiTheme="minorHAnsi" w:cstheme="minorHAnsi"/>
                <w:b/>
                <w:bCs/>
                <w:color w:val="000000"/>
                <w:highlight w:val="green"/>
              </w:rPr>
            </w:pPr>
            <w:r w:rsidRPr="00AE612E">
              <w:rPr>
                <w:rFonts w:asciiTheme="minorHAnsi" w:eastAsia="Times New Roman" w:hAnsiTheme="minorHAnsi" w:cstheme="minorHAnsi"/>
                <w:b/>
                <w:bCs/>
                <w:color w:val="000000"/>
                <w:highlight w:val="green"/>
              </w:rPr>
              <w:t>VALOR</w:t>
            </w:r>
          </w:p>
        </w:tc>
      </w:tr>
      <w:tr w:rsidR="009F2B88" w:rsidRPr="00AE612E" w14:paraId="4683DD13" w14:textId="77777777" w:rsidTr="00A616D0">
        <w:trPr>
          <w:trHeight w:val="1754"/>
        </w:trPr>
        <w:tc>
          <w:tcPr>
            <w:tcW w:w="0" w:type="auto"/>
            <w:tcBorders>
              <w:top w:val="nil"/>
              <w:left w:val="single" w:sz="4" w:space="0" w:color="auto"/>
              <w:bottom w:val="single" w:sz="4" w:space="0" w:color="auto"/>
              <w:right w:val="single" w:sz="4" w:space="0" w:color="auto"/>
            </w:tcBorders>
            <w:vAlign w:val="center"/>
            <w:hideMark/>
          </w:tcPr>
          <w:p w14:paraId="756E21BE"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01 DE 2020</w:t>
            </w:r>
          </w:p>
        </w:tc>
        <w:tc>
          <w:tcPr>
            <w:tcW w:w="2094" w:type="dxa"/>
            <w:tcBorders>
              <w:top w:val="nil"/>
              <w:left w:val="nil"/>
              <w:bottom w:val="single" w:sz="4" w:space="0" w:color="auto"/>
              <w:right w:val="single" w:sz="4" w:space="0" w:color="auto"/>
            </w:tcBorders>
            <w:vAlign w:val="center"/>
          </w:tcPr>
          <w:p w14:paraId="1D115988"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JARGU S.A CORREDORES DE SEGUROS</w:t>
            </w:r>
          </w:p>
        </w:tc>
        <w:tc>
          <w:tcPr>
            <w:tcW w:w="4860" w:type="dxa"/>
            <w:tcBorders>
              <w:top w:val="nil"/>
              <w:left w:val="nil"/>
              <w:bottom w:val="single" w:sz="4" w:space="0" w:color="auto"/>
              <w:right w:val="single" w:sz="4" w:space="0" w:color="auto"/>
            </w:tcBorders>
            <w:vAlign w:val="center"/>
          </w:tcPr>
          <w:p w14:paraId="3DA47246"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“CONTRATAR UN INTERMEDIARIO DE SEGUROS, PARA QUE PRESTE LA ASESORÍA INTEGRAL EN LA ADMINISTRACIÓN, CONTRATACIÓN Y MANEJO DE LAS PÓLIZAS QUE CONSTITUYEN EL PROGRAMA DE SEGUROS ECHEVERRI MEJIA”.</w:t>
            </w:r>
          </w:p>
        </w:tc>
        <w:tc>
          <w:tcPr>
            <w:tcW w:w="0" w:type="auto"/>
            <w:tcBorders>
              <w:top w:val="nil"/>
              <w:left w:val="nil"/>
              <w:bottom w:val="single" w:sz="4" w:space="0" w:color="auto"/>
              <w:right w:val="single" w:sz="4" w:space="0" w:color="auto"/>
            </w:tcBorders>
            <w:vAlign w:val="center"/>
          </w:tcPr>
          <w:p w14:paraId="68C0C649" w14:textId="77777777" w:rsidR="009F2B88" w:rsidRPr="00AE612E" w:rsidRDefault="009F2B88" w:rsidP="00A616D0">
            <w:pPr>
              <w:jc w:val="right"/>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$83.797.659</w:t>
            </w:r>
          </w:p>
        </w:tc>
      </w:tr>
      <w:tr w:rsidR="009F2B88" w:rsidRPr="00AE612E" w14:paraId="41FE94EA" w14:textId="77777777" w:rsidTr="00A616D0">
        <w:trPr>
          <w:trHeight w:val="1754"/>
        </w:trPr>
        <w:tc>
          <w:tcPr>
            <w:tcW w:w="0" w:type="auto"/>
            <w:tcBorders>
              <w:top w:val="nil"/>
              <w:left w:val="single" w:sz="4" w:space="0" w:color="auto"/>
              <w:bottom w:val="single" w:sz="4" w:space="0" w:color="auto"/>
              <w:right w:val="single" w:sz="4" w:space="0" w:color="auto"/>
            </w:tcBorders>
            <w:vAlign w:val="center"/>
          </w:tcPr>
          <w:p w14:paraId="4BC4F3B9" w14:textId="77777777" w:rsidR="009F2B88" w:rsidRPr="00AE612E" w:rsidRDefault="009F2B88" w:rsidP="00A616D0">
            <w:pPr>
              <w:rPr>
                <w:rFonts w:asciiTheme="minorHAnsi" w:eastAsia="Times New Roman" w:hAnsiTheme="minorHAnsi" w:cstheme="minorHAnsi"/>
                <w:color w:val="000000"/>
                <w:highlight w:val="green"/>
              </w:rPr>
            </w:pPr>
          </w:p>
          <w:p w14:paraId="5DC6E788"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 xml:space="preserve"> 001 DE 2018</w:t>
            </w:r>
          </w:p>
        </w:tc>
        <w:tc>
          <w:tcPr>
            <w:tcW w:w="2094" w:type="dxa"/>
            <w:tcBorders>
              <w:top w:val="nil"/>
              <w:left w:val="nil"/>
              <w:bottom w:val="single" w:sz="4" w:space="0" w:color="auto"/>
              <w:right w:val="single" w:sz="4" w:space="0" w:color="auto"/>
            </w:tcBorders>
            <w:vAlign w:val="center"/>
          </w:tcPr>
          <w:p w14:paraId="32AD38C1"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UNION TEMPORAL CAF-SALIANZA</w:t>
            </w:r>
          </w:p>
        </w:tc>
        <w:tc>
          <w:tcPr>
            <w:tcW w:w="4860" w:type="dxa"/>
            <w:tcBorders>
              <w:top w:val="nil"/>
              <w:left w:val="nil"/>
              <w:bottom w:val="single" w:sz="4" w:space="0" w:color="auto"/>
              <w:right w:val="single" w:sz="4" w:space="0" w:color="auto"/>
            </w:tcBorders>
            <w:vAlign w:val="center"/>
          </w:tcPr>
          <w:p w14:paraId="3A67109E"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CONTRATAR UN INTERMEDIARIO DE SEGUROS, PARA QUE PRESTE LA ASESORÍA INTEGRAL EN LA ADMINISTRACIÓN, CONTRATACIÓN Y MANEJO DE LAS PÓLIZAS QUE CONSTITUYEN EL PROGRAMA DE SEGUROS QUE LEGALMENTE SEA O LLEGARE A SER RESPONSABLE LA CORPORACIÓN PARA EL FOMENTO DE LA EDUCACIÓN SUPERIOR”.</w:t>
            </w:r>
          </w:p>
        </w:tc>
        <w:tc>
          <w:tcPr>
            <w:tcW w:w="0" w:type="auto"/>
            <w:tcBorders>
              <w:top w:val="nil"/>
              <w:left w:val="nil"/>
              <w:bottom w:val="single" w:sz="4" w:space="0" w:color="auto"/>
              <w:right w:val="single" w:sz="4" w:space="0" w:color="auto"/>
            </w:tcBorders>
            <w:vAlign w:val="center"/>
          </w:tcPr>
          <w:p w14:paraId="1EF54256" w14:textId="77777777" w:rsidR="009F2B88" w:rsidRPr="00AE612E" w:rsidRDefault="009F2B88" w:rsidP="00A616D0">
            <w:pPr>
              <w:jc w:val="right"/>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w w:val="95"/>
                <w:highlight w:val="green"/>
              </w:rPr>
              <w:t>SIN CUANTIA</w:t>
            </w:r>
          </w:p>
        </w:tc>
      </w:tr>
      <w:tr w:rsidR="009F2B88" w:rsidRPr="00AE612E" w14:paraId="53BDB21C" w14:textId="77777777" w:rsidTr="00A616D0">
        <w:trPr>
          <w:trHeight w:val="1754"/>
        </w:trPr>
        <w:tc>
          <w:tcPr>
            <w:tcW w:w="0" w:type="auto"/>
            <w:tcBorders>
              <w:top w:val="nil"/>
              <w:left w:val="single" w:sz="4" w:space="0" w:color="auto"/>
              <w:bottom w:val="single" w:sz="4" w:space="0" w:color="auto"/>
              <w:right w:val="single" w:sz="4" w:space="0" w:color="auto"/>
            </w:tcBorders>
            <w:vAlign w:val="center"/>
          </w:tcPr>
          <w:p w14:paraId="5EA3AD46"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lastRenderedPageBreak/>
              <w:t>062 DE 2017</w:t>
            </w:r>
          </w:p>
        </w:tc>
        <w:tc>
          <w:tcPr>
            <w:tcW w:w="2094" w:type="dxa"/>
            <w:tcBorders>
              <w:top w:val="nil"/>
              <w:left w:val="nil"/>
              <w:bottom w:val="single" w:sz="4" w:space="0" w:color="auto"/>
              <w:right w:val="single" w:sz="4" w:space="0" w:color="auto"/>
            </w:tcBorders>
            <w:vAlign w:val="center"/>
          </w:tcPr>
          <w:p w14:paraId="483B2F38"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UNION TEMPORAL CAF-SALIANZA</w:t>
            </w:r>
          </w:p>
        </w:tc>
        <w:tc>
          <w:tcPr>
            <w:tcW w:w="4860" w:type="dxa"/>
            <w:tcBorders>
              <w:top w:val="nil"/>
              <w:left w:val="nil"/>
              <w:bottom w:val="single" w:sz="4" w:space="0" w:color="auto"/>
              <w:right w:val="single" w:sz="4" w:space="0" w:color="auto"/>
            </w:tcBorders>
            <w:vAlign w:val="center"/>
          </w:tcPr>
          <w:p w14:paraId="218F5A8D"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CONTRATAR UN INTERMEDIARIO DE SEGUROS, PARA QUE PRESTE LA ASESORÍA INTEGRAL EN LA ADMINISTRACIÓN, CONTRATACIÓN Y MANEJO DE LAS PÓLIZAS QUE CONSTITUYEN EL PROGRAMA DE SEGUROS QUE LEGALMENTE SEA O LLEGARE A SER RESPONSABLE LA CORPORACIÓN PARA EL FOMENTO DE LA EDUCACIÓN SUPERIOR”.</w:t>
            </w:r>
          </w:p>
        </w:tc>
        <w:tc>
          <w:tcPr>
            <w:tcW w:w="0" w:type="auto"/>
            <w:tcBorders>
              <w:top w:val="nil"/>
              <w:left w:val="nil"/>
              <w:bottom w:val="single" w:sz="4" w:space="0" w:color="auto"/>
              <w:right w:val="single" w:sz="4" w:space="0" w:color="auto"/>
            </w:tcBorders>
            <w:vAlign w:val="center"/>
          </w:tcPr>
          <w:p w14:paraId="13919995" w14:textId="77777777" w:rsidR="009F2B88" w:rsidRPr="00AE612E" w:rsidRDefault="009F2B88" w:rsidP="00A616D0">
            <w:pPr>
              <w:jc w:val="right"/>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w w:val="95"/>
                <w:highlight w:val="green"/>
              </w:rPr>
              <w:t>SIN CUANTIA</w:t>
            </w:r>
          </w:p>
        </w:tc>
      </w:tr>
      <w:tr w:rsidR="009F2B88" w:rsidRPr="00AE612E" w14:paraId="19E6C6A7" w14:textId="77777777" w:rsidTr="00A616D0">
        <w:trPr>
          <w:trHeight w:val="1754"/>
        </w:trPr>
        <w:tc>
          <w:tcPr>
            <w:tcW w:w="0" w:type="auto"/>
            <w:tcBorders>
              <w:top w:val="nil"/>
              <w:left w:val="single" w:sz="4" w:space="0" w:color="auto"/>
              <w:bottom w:val="single" w:sz="4" w:space="0" w:color="auto"/>
              <w:right w:val="single" w:sz="4" w:space="0" w:color="auto"/>
            </w:tcBorders>
            <w:vAlign w:val="center"/>
          </w:tcPr>
          <w:p w14:paraId="2F66B2DE"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001 DE 2015</w:t>
            </w:r>
          </w:p>
        </w:tc>
        <w:tc>
          <w:tcPr>
            <w:tcW w:w="2094" w:type="dxa"/>
            <w:tcBorders>
              <w:top w:val="nil"/>
              <w:left w:val="nil"/>
              <w:bottom w:val="single" w:sz="4" w:space="0" w:color="auto"/>
              <w:right w:val="single" w:sz="4" w:space="0" w:color="auto"/>
            </w:tcBorders>
            <w:vAlign w:val="center"/>
          </w:tcPr>
          <w:p w14:paraId="11E8A832"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 xml:space="preserve">HELM CORREDOR DE SEGUROS </w:t>
            </w:r>
            <w:proofErr w:type="gramStart"/>
            <w:r w:rsidRPr="00AE612E">
              <w:rPr>
                <w:rFonts w:asciiTheme="minorHAnsi" w:eastAsia="Times New Roman" w:hAnsiTheme="minorHAnsi" w:cstheme="minorHAnsi"/>
                <w:color w:val="000000"/>
                <w:highlight w:val="green"/>
              </w:rPr>
              <w:t>S.A</w:t>
            </w:r>
            <w:proofErr w:type="gramEnd"/>
          </w:p>
        </w:tc>
        <w:tc>
          <w:tcPr>
            <w:tcW w:w="4860" w:type="dxa"/>
            <w:tcBorders>
              <w:top w:val="nil"/>
              <w:left w:val="nil"/>
              <w:bottom w:val="single" w:sz="4" w:space="0" w:color="auto"/>
              <w:right w:val="single" w:sz="4" w:space="0" w:color="auto"/>
            </w:tcBorders>
            <w:vAlign w:val="center"/>
          </w:tcPr>
          <w:p w14:paraId="25894CD3" w14:textId="77777777" w:rsidR="009F2B88" w:rsidRPr="00AE612E" w:rsidRDefault="009F2B88" w:rsidP="00A616D0">
            <w:pPr>
              <w:rPr>
                <w:rFonts w:asciiTheme="minorHAnsi" w:eastAsia="Times New Roman" w:hAnsiTheme="minorHAnsi" w:cstheme="minorHAnsi"/>
                <w:color w:val="000000"/>
                <w:highlight w:val="green"/>
              </w:rPr>
            </w:pPr>
            <w:r w:rsidRPr="00AE612E">
              <w:rPr>
                <w:rFonts w:asciiTheme="minorHAnsi" w:eastAsia="Times New Roman" w:hAnsiTheme="minorHAnsi" w:cstheme="minorHAnsi"/>
                <w:color w:val="000000"/>
                <w:highlight w:val="green"/>
              </w:rPr>
              <w:t>CONTRATAR UN INTERMEDIARIO DE SEGUROS, PARA QUE PRESTE LA ASESORÍA INTEGRAL EN LA ADMINISTRACIÓN, CONTRATACIÓN Y MANEJO DE LAS PÓLIZAS QUE CONSTITUYEN EL PROGRAMA DE SEGUROS QUE LEGALMENTE SEA O LLEGARE A SER RESPONSABLE LA CORPORACIÓN PARA EL FOMENTO DE LA EDUCACIÓN SUPERIOR</w:t>
            </w:r>
          </w:p>
        </w:tc>
        <w:tc>
          <w:tcPr>
            <w:tcW w:w="0" w:type="auto"/>
            <w:tcBorders>
              <w:top w:val="nil"/>
              <w:left w:val="nil"/>
              <w:bottom w:val="single" w:sz="4" w:space="0" w:color="auto"/>
              <w:right w:val="single" w:sz="4" w:space="0" w:color="auto"/>
            </w:tcBorders>
            <w:vAlign w:val="center"/>
          </w:tcPr>
          <w:p w14:paraId="1F54F925" w14:textId="77777777" w:rsidR="009F2B88" w:rsidRPr="00AE612E" w:rsidRDefault="009F2B88" w:rsidP="00A616D0">
            <w:pPr>
              <w:jc w:val="right"/>
              <w:rPr>
                <w:rFonts w:asciiTheme="minorHAnsi" w:eastAsia="Times New Roman" w:hAnsiTheme="minorHAnsi" w:cstheme="minorHAnsi"/>
                <w:color w:val="000000"/>
                <w:w w:val="95"/>
                <w:highlight w:val="green"/>
              </w:rPr>
            </w:pPr>
            <w:r w:rsidRPr="00AE612E">
              <w:rPr>
                <w:rFonts w:asciiTheme="minorHAnsi" w:eastAsia="Times New Roman" w:hAnsiTheme="minorHAnsi" w:cstheme="minorHAnsi"/>
                <w:color w:val="000000"/>
                <w:w w:val="95"/>
                <w:highlight w:val="green"/>
              </w:rPr>
              <w:t>SIN CUANTIA</w:t>
            </w:r>
          </w:p>
        </w:tc>
      </w:tr>
    </w:tbl>
    <w:p w14:paraId="455FAFB6" w14:textId="77777777" w:rsidR="009F2B88" w:rsidRPr="00AE612E" w:rsidRDefault="009F2B88" w:rsidP="009F2B88">
      <w:pPr>
        <w:pBdr>
          <w:top w:val="nil"/>
          <w:left w:val="nil"/>
          <w:bottom w:val="nil"/>
          <w:right w:val="nil"/>
          <w:between w:val="nil"/>
        </w:pBdr>
        <w:jc w:val="both"/>
        <w:rPr>
          <w:rFonts w:asciiTheme="minorHAnsi" w:hAnsiTheme="minorHAnsi" w:cstheme="minorHAnsi"/>
          <w:highlight w:val="green"/>
        </w:rPr>
      </w:pPr>
    </w:p>
    <w:p w14:paraId="02E4B80E" w14:textId="77777777" w:rsidR="009F2B88" w:rsidRPr="00AE612E" w:rsidRDefault="009F2B88" w:rsidP="009F2B88">
      <w:pPr>
        <w:pBdr>
          <w:top w:val="nil"/>
          <w:left w:val="nil"/>
          <w:bottom w:val="nil"/>
          <w:right w:val="nil"/>
          <w:between w:val="nil"/>
        </w:pBdr>
        <w:jc w:val="both"/>
        <w:rPr>
          <w:rFonts w:asciiTheme="minorHAnsi" w:hAnsiTheme="minorHAnsi" w:cstheme="minorHAnsi"/>
          <w:highlight w:val="green"/>
        </w:rPr>
      </w:pPr>
    </w:p>
    <w:p w14:paraId="1B75A9E2" w14:textId="77777777" w:rsidR="009F2B88" w:rsidRPr="00AE612E" w:rsidRDefault="009F2B88" w:rsidP="009F2B88">
      <w:pPr>
        <w:tabs>
          <w:tab w:val="left" w:pos="709"/>
        </w:tabs>
        <w:ind w:right="88"/>
        <w:jc w:val="both"/>
        <w:rPr>
          <w:rFonts w:asciiTheme="minorHAnsi" w:hAnsiTheme="minorHAnsi" w:cstheme="minorHAnsi"/>
          <w:b/>
          <w:spacing w:val="-3"/>
          <w:highlight w:val="green"/>
        </w:rPr>
      </w:pPr>
      <w:r w:rsidRPr="00AE612E">
        <w:rPr>
          <w:rFonts w:asciiTheme="minorHAnsi" w:hAnsiTheme="minorHAnsi" w:cstheme="minorHAnsi"/>
          <w:b/>
          <w:spacing w:val="-3"/>
          <w:highlight w:val="green"/>
        </w:rPr>
        <w:t>¿CÓMO ADQUIEREN LAS ENTIDADES ESTATALES Y LAS EMPRESAS PRIVADAS ESTE BIEN, OBRA O SERVICIO?:</w:t>
      </w:r>
    </w:p>
    <w:p w14:paraId="0C0310CF" w14:textId="77777777" w:rsidR="009F2B88" w:rsidRPr="00AE612E" w:rsidRDefault="009F2B88" w:rsidP="009F2B88">
      <w:pPr>
        <w:tabs>
          <w:tab w:val="left" w:pos="709"/>
        </w:tabs>
        <w:ind w:right="88"/>
        <w:jc w:val="both"/>
        <w:rPr>
          <w:rFonts w:asciiTheme="minorHAnsi" w:hAnsiTheme="minorHAnsi" w:cstheme="minorHAnsi"/>
          <w:b/>
          <w:spacing w:val="-3"/>
          <w:highlight w:val="green"/>
        </w:rPr>
      </w:pPr>
    </w:p>
    <w:p w14:paraId="6CA8872D" w14:textId="77777777" w:rsidR="009F2B88" w:rsidRPr="00AE612E" w:rsidRDefault="009F2B88" w:rsidP="009F2B88">
      <w:pPr>
        <w:jc w:val="both"/>
        <w:rPr>
          <w:rFonts w:asciiTheme="minorHAnsi" w:hAnsiTheme="minorHAnsi" w:cstheme="minorHAnsi"/>
          <w:b/>
          <w:highlight w:val="green"/>
        </w:rPr>
      </w:pPr>
      <w:r w:rsidRPr="00AE612E">
        <w:rPr>
          <w:rFonts w:asciiTheme="minorHAnsi" w:hAnsiTheme="minorHAnsi" w:cstheme="minorHAnsi"/>
          <w:highlight w:val="green"/>
        </w:rPr>
        <w:t>Para el estudio de la demanda la Corporación Gilberto Echeverri Mejía contextualiza contratos con objeto similar consultado a través de los diferentes motores de búsqueda entre los cuales se encuentra el SECOP II de la Agencia Nacional de Contratación Pública - Colombia Compra Eficiente con el fin de identificar procesos realizados en años anteriores por la entidad u otras entidades públicas. A continuación, se presenta las características más relevantes de los procesos:</w:t>
      </w:r>
    </w:p>
    <w:tbl>
      <w:tblPr>
        <w:tblpPr w:leftFromText="141" w:rightFromText="141" w:vertAnchor="text" w:horzAnchor="margin" w:tblpXSpec="center" w:tblpY="136"/>
        <w:tblW w:w="9593" w:type="dxa"/>
        <w:tblCellMar>
          <w:left w:w="70" w:type="dxa"/>
          <w:right w:w="70" w:type="dxa"/>
        </w:tblCellMar>
        <w:tblLook w:val="04A0" w:firstRow="1" w:lastRow="0" w:firstColumn="1" w:lastColumn="0" w:noHBand="0" w:noVBand="1"/>
      </w:tblPr>
      <w:tblGrid>
        <w:gridCol w:w="1438"/>
        <w:gridCol w:w="1870"/>
        <w:gridCol w:w="3703"/>
        <w:gridCol w:w="1180"/>
        <w:gridCol w:w="1402"/>
      </w:tblGrid>
      <w:tr w:rsidR="009F2B88" w:rsidRPr="00AE612E" w14:paraId="04D89CCB" w14:textId="77777777" w:rsidTr="00A616D0">
        <w:trPr>
          <w:trHeight w:val="246"/>
        </w:trPr>
        <w:tc>
          <w:tcPr>
            <w:tcW w:w="1438"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1856A91C" w14:textId="77777777" w:rsidR="009F2B88" w:rsidRPr="00AE612E" w:rsidRDefault="009F2B88" w:rsidP="00A616D0">
            <w:pPr>
              <w:jc w:val="center"/>
              <w:rPr>
                <w:rFonts w:asciiTheme="minorHAnsi" w:hAnsiTheme="minorHAnsi" w:cstheme="minorHAnsi"/>
                <w:b/>
                <w:bCs/>
                <w:color w:val="FFFFFF"/>
                <w:sz w:val="18"/>
                <w:szCs w:val="18"/>
                <w:highlight w:val="green"/>
              </w:rPr>
            </w:pPr>
            <w:r w:rsidRPr="00AE612E">
              <w:rPr>
                <w:rFonts w:asciiTheme="minorHAnsi" w:hAnsiTheme="minorHAnsi" w:cstheme="minorHAnsi"/>
                <w:b/>
                <w:bCs/>
                <w:color w:val="FFFFFF"/>
                <w:sz w:val="18"/>
                <w:szCs w:val="18"/>
                <w:highlight w:val="green"/>
              </w:rPr>
              <w:t>No. CONTRATO</w:t>
            </w:r>
          </w:p>
        </w:tc>
        <w:tc>
          <w:tcPr>
            <w:tcW w:w="1870" w:type="dxa"/>
            <w:tcBorders>
              <w:top w:val="single" w:sz="4" w:space="0" w:color="auto"/>
              <w:left w:val="nil"/>
              <w:bottom w:val="single" w:sz="4" w:space="0" w:color="auto"/>
              <w:right w:val="single" w:sz="4" w:space="0" w:color="auto"/>
            </w:tcBorders>
            <w:shd w:val="clear" w:color="000000" w:fill="203764"/>
            <w:vAlign w:val="center"/>
            <w:hideMark/>
          </w:tcPr>
          <w:p w14:paraId="4FA2500B" w14:textId="77777777" w:rsidR="009F2B88" w:rsidRPr="00AE612E" w:rsidRDefault="009F2B88" w:rsidP="00A616D0">
            <w:pPr>
              <w:jc w:val="center"/>
              <w:rPr>
                <w:rFonts w:asciiTheme="minorHAnsi" w:hAnsiTheme="minorHAnsi" w:cstheme="minorHAnsi"/>
                <w:b/>
                <w:bCs/>
                <w:color w:val="FFFFFF"/>
                <w:sz w:val="18"/>
                <w:szCs w:val="18"/>
                <w:highlight w:val="green"/>
              </w:rPr>
            </w:pPr>
            <w:r w:rsidRPr="00AE612E">
              <w:rPr>
                <w:rFonts w:asciiTheme="minorHAnsi" w:hAnsiTheme="minorHAnsi" w:cstheme="minorHAnsi"/>
                <w:b/>
                <w:bCs/>
                <w:color w:val="FFFFFF"/>
                <w:sz w:val="18"/>
                <w:szCs w:val="18"/>
                <w:highlight w:val="green"/>
              </w:rPr>
              <w:t>Modalidad de selección</w:t>
            </w:r>
          </w:p>
        </w:tc>
        <w:tc>
          <w:tcPr>
            <w:tcW w:w="3703" w:type="dxa"/>
            <w:tcBorders>
              <w:top w:val="single" w:sz="4" w:space="0" w:color="auto"/>
              <w:left w:val="nil"/>
              <w:bottom w:val="single" w:sz="4" w:space="0" w:color="auto"/>
              <w:right w:val="single" w:sz="4" w:space="0" w:color="auto"/>
            </w:tcBorders>
            <w:shd w:val="clear" w:color="000000" w:fill="203764"/>
            <w:vAlign w:val="center"/>
            <w:hideMark/>
          </w:tcPr>
          <w:p w14:paraId="20E58AAB" w14:textId="77777777" w:rsidR="009F2B88" w:rsidRPr="00AE612E" w:rsidRDefault="009F2B88" w:rsidP="00A616D0">
            <w:pPr>
              <w:jc w:val="center"/>
              <w:rPr>
                <w:rFonts w:asciiTheme="minorHAnsi" w:hAnsiTheme="minorHAnsi" w:cstheme="minorHAnsi"/>
                <w:b/>
                <w:bCs/>
                <w:color w:val="FFFFFF"/>
                <w:sz w:val="18"/>
                <w:szCs w:val="18"/>
                <w:highlight w:val="green"/>
              </w:rPr>
            </w:pPr>
            <w:r w:rsidRPr="00AE612E">
              <w:rPr>
                <w:rFonts w:asciiTheme="minorHAnsi" w:hAnsiTheme="minorHAnsi" w:cstheme="minorHAnsi"/>
                <w:b/>
                <w:bCs/>
                <w:color w:val="FFFFFF"/>
                <w:sz w:val="18"/>
                <w:szCs w:val="18"/>
                <w:highlight w:val="green"/>
              </w:rPr>
              <w:t>OBJETO</w:t>
            </w:r>
          </w:p>
        </w:tc>
        <w:tc>
          <w:tcPr>
            <w:tcW w:w="1180" w:type="dxa"/>
            <w:tcBorders>
              <w:top w:val="single" w:sz="4" w:space="0" w:color="auto"/>
              <w:left w:val="nil"/>
              <w:bottom w:val="single" w:sz="4" w:space="0" w:color="auto"/>
              <w:right w:val="single" w:sz="4" w:space="0" w:color="auto"/>
            </w:tcBorders>
            <w:shd w:val="clear" w:color="000000" w:fill="203764"/>
            <w:vAlign w:val="center"/>
            <w:hideMark/>
          </w:tcPr>
          <w:p w14:paraId="21057F57" w14:textId="77777777" w:rsidR="009F2B88" w:rsidRPr="00AE612E" w:rsidRDefault="009F2B88" w:rsidP="00A616D0">
            <w:pPr>
              <w:jc w:val="center"/>
              <w:rPr>
                <w:rFonts w:asciiTheme="minorHAnsi" w:hAnsiTheme="minorHAnsi" w:cstheme="minorHAnsi"/>
                <w:b/>
                <w:bCs/>
                <w:color w:val="FFFFFF"/>
                <w:sz w:val="18"/>
                <w:szCs w:val="18"/>
                <w:highlight w:val="green"/>
              </w:rPr>
            </w:pPr>
            <w:r w:rsidRPr="00AE612E">
              <w:rPr>
                <w:rFonts w:asciiTheme="minorHAnsi" w:hAnsiTheme="minorHAnsi" w:cstheme="minorHAnsi"/>
                <w:b/>
                <w:bCs/>
                <w:color w:val="FFFFFF"/>
                <w:sz w:val="18"/>
                <w:szCs w:val="18"/>
                <w:highlight w:val="green"/>
              </w:rPr>
              <w:t>VALOR CONTRATO</w:t>
            </w:r>
          </w:p>
        </w:tc>
        <w:tc>
          <w:tcPr>
            <w:tcW w:w="1402" w:type="dxa"/>
            <w:tcBorders>
              <w:top w:val="single" w:sz="4" w:space="0" w:color="auto"/>
              <w:left w:val="nil"/>
              <w:bottom w:val="single" w:sz="4" w:space="0" w:color="auto"/>
              <w:right w:val="single" w:sz="4" w:space="0" w:color="auto"/>
            </w:tcBorders>
            <w:shd w:val="clear" w:color="000000" w:fill="203764"/>
            <w:vAlign w:val="center"/>
            <w:hideMark/>
          </w:tcPr>
          <w:p w14:paraId="6AF2EF70" w14:textId="77777777" w:rsidR="009F2B88" w:rsidRPr="00AE612E" w:rsidRDefault="009F2B88" w:rsidP="00A616D0">
            <w:pPr>
              <w:jc w:val="center"/>
              <w:rPr>
                <w:rFonts w:asciiTheme="minorHAnsi" w:hAnsiTheme="minorHAnsi" w:cstheme="minorHAnsi"/>
                <w:b/>
                <w:bCs/>
                <w:color w:val="FFFFFF"/>
                <w:sz w:val="18"/>
                <w:szCs w:val="18"/>
                <w:highlight w:val="green"/>
              </w:rPr>
            </w:pPr>
            <w:r w:rsidRPr="00AE612E">
              <w:rPr>
                <w:rFonts w:asciiTheme="minorHAnsi" w:hAnsiTheme="minorHAnsi" w:cstheme="minorHAnsi"/>
                <w:b/>
                <w:bCs/>
                <w:color w:val="FFFFFF"/>
                <w:sz w:val="18"/>
                <w:szCs w:val="18"/>
                <w:highlight w:val="green"/>
              </w:rPr>
              <w:t>PLAZO</w:t>
            </w:r>
          </w:p>
        </w:tc>
      </w:tr>
      <w:tr w:rsidR="009F2B88" w:rsidRPr="00AE612E" w14:paraId="0568C8E3" w14:textId="77777777" w:rsidTr="00A616D0">
        <w:trPr>
          <w:trHeight w:val="216"/>
        </w:trPr>
        <w:tc>
          <w:tcPr>
            <w:tcW w:w="1438" w:type="dxa"/>
            <w:tcBorders>
              <w:top w:val="nil"/>
              <w:left w:val="single" w:sz="4" w:space="0" w:color="auto"/>
              <w:bottom w:val="single" w:sz="4" w:space="0" w:color="auto"/>
              <w:right w:val="single" w:sz="4" w:space="0" w:color="auto"/>
            </w:tcBorders>
            <w:vAlign w:val="center"/>
            <w:hideMark/>
          </w:tcPr>
          <w:p w14:paraId="0503CA07" w14:textId="77777777" w:rsidR="009F2B88" w:rsidRPr="00AE612E" w:rsidRDefault="009F2B88" w:rsidP="00A616D0">
            <w:pPr>
              <w:jc w:val="center"/>
              <w:rPr>
                <w:rFonts w:asciiTheme="minorHAnsi" w:hAnsiTheme="minorHAnsi" w:cstheme="minorHAnsi"/>
                <w:color w:val="000000"/>
                <w:sz w:val="18"/>
                <w:szCs w:val="18"/>
                <w:highlight w:val="green"/>
                <w:shd w:val="clear" w:color="auto" w:fill="CCCCCC"/>
              </w:rPr>
            </w:pPr>
            <w:r w:rsidRPr="00AE612E">
              <w:rPr>
                <w:rFonts w:asciiTheme="minorHAnsi" w:hAnsiTheme="minorHAnsi" w:cstheme="minorHAnsi"/>
                <w:color w:val="000000"/>
                <w:sz w:val="18"/>
                <w:szCs w:val="18"/>
                <w:highlight w:val="green"/>
              </w:rPr>
              <w:t>PS-05-2024</w:t>
            </w:r>
          </w:p>
          <w:p w14:paraId="7D6A1D72" w14:textId="77777777" w:rsidR="009F2B88" w:rsidRPr="00AE612E" w:rsidRDefault="009F2B88" w:rsidP="00A616D0">
            <w:pPr>
              <w:jc w:val="center"/>
              <w:rPr>
                <w:rFonts w:asciiTheme="minorHAnsi" w:hAnsiTheme="minorHAnsi" w:cstheme="minorHAnsi"/>
                <w:color w:val="000000"/>
                <w:sz w:val="18"/>
                <w:szCs w:val="18"/>
                <w:highlight w:val="green"/>
                <w:shd w:val="clear" w:color="auto" w:fill="CCCCCC"/>
              </w:rPr>
            </w:pPr>
          </w:p>
          <w:p w14:paraId="6AF89360" w14:textId="77777777" w:rsidR="009F2B88" w:rsidRPr="00AE612E" w:rsidRDefault="009F2B88" w:rsidP="00A616D0">
            <w:pPr>
              <w:jc w:val="center"/>
              <w:rPr>
                <w:rFonts w:asciiTheme="minorHAnsi" w:hAnsiTheme="minorHAnsi" w:cstheme="minorHAnsi"/>
                <w:b/>
                <w:bCs/>
                <w:color w:val="000000"/>
                <w:sz w:val="18"/>
                <w:szCs w:val="18"/>
                <w:highlight w:val="green"/>
              </w:rPr>
            </w:pPr>
            <w:r w:rsidRPr="00AE612E">
              <w:rPr>
                <w:rFonts w:asciiTheme="minorHAnsi" w:hAnsiTheme="minorHAnsi" w:cstheme="minorHAnsi"/>
                <w:color w:val="000000"/>
                <w:sz w:val="18"/>
                <w:szCs w:val="18"/>
                <w:highlight w:val="green"/>
              </w:rPr>
              <w:t>CONCEJO MUNICIPAL DE CAJICÁ</w:t>
            </w:r>
          </w:p>
        </w:tc>
        <w:tc>
          <w:tcPr>
            <w:tcW w:w="1870" w:type="dxa"/>
            <w:tcBorders>
              <w:top w:val="nil"/>
              <w:left w:val="nil"/>
              <w:bottom w:val="single" w:sz="4" w:space="0" w:color="auto"/>
              <w:right w:val="single" w:sz="4" w:space="0" w:color="auto"/>
            </w:tcBorders>
            <w:vAlign w:val="center"/>
            <w:hideMark/>
          </w:tcPr>
          <w:p w14:paraId="5D3AB88B"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shd w:val="clear" w:color="auto" w:fill="FFFFFF"/>
              </w:rPr>
              <w:t>Contratación directa</w:t>
            </w:r>
          </w:p>
        </w:tc>
        <w:tc>
          <w:tcPr>
            <w:tcW w:w="3703" w:type="dxa"/>
            <w:tcBorders>
              <w:top w:val="nil"/>
              <w:left w:val="nil"/>
              <w:bottom w:val="single" w:sz="4" w:space="0" w:color="auto"/>
              <w:right w:val="single" w:sz="4" w:space="0" w:color="auto"/>
            </w:tcBorders>
            <w:vAlign w:val="center"/>
            <w:hideMark/>
          </w:tcPr>
          <w:p w14:paraId="30C69147" w14:textId="77777777" w:rsidR="009F2B88" w:rsidRPr="00AE612E" w:rsidRDefault="009F2B88" w:rsidP="00A616D0">
            <w:pPr>
              <w:jc w:val="center"/>
              <w:rPr>
                <w:rFonts w:asciiTheme="minorHAnsi" w:hAnsiTheme="minorHAnsi" w:cstheme="minorHAnsi"/>
                <w:color w:val="000000"/>
                <w:sz w:val="18"/>
                <w:szCs w:val="18"/>
                <w:highlight w:val="green"/>
              </w:rPr>
            </w:pPr>
            <w:proofErr w:type="gramStart"/>
            <w:r w:rsidRPr="00AE612E">
              <w:rPr>
                <w:rFonts w:asciiTheme="minorHAnsi" w:hAnsiTheme="minorHAnsi" w:cstheme="minorHAnsi"/>
                <w:color w:val="000000"/>
                <w:sz w:val="18"/>
                <w:szCs w:val="18"/>
                <w:highlight w:val="green"/>
              </w:rPr>
              <w:t>.</w:t>
            </w:r>
            <w:r w:rsidRPr="00AE612E">
              <w:rPr>
                <w:rFonts w:asciiTheme="minorHAnsi" w:hAnsiTheme="minorHAnsi" w:cstheme="minorHAnsi"/>
                <w:color w:val="000000"/>
                <w:sz w:val="18"/>
                <w:szCs w:val="18"/>
                <w:highlight w:val="green"/>
                <w:shd w:val="clear" w:color="auto" w:fill="FFFFFF"/>
              </w:rPr>
              <w:t>PRESTACION</w:t>
            </w:r>
            <w:proofErr w:type="gramEnd"/>
            <w:r w:rsidRPr="00AE612E">
              <w:rPr>
                <w:rFonts w:asciiTheme="minorHAnsi" w:hAnsiTheme="minorHAnsi" w:cstheme="minorHAnsi"/>
                <w:color w:val="000000"/>
                <w:sz w:val="18"/>
                <w:szCs w:val="18"/>
                <w:highlight w:val="green"/>
                <w:shd w:val="clear" w:color="auto" w:fill="FFFFFF"/>
              </w:rPr>
              <w:t xml:space="preserve"> DE SERVICIOS PROFESIONALES PARA ASESORAR AL CONCEJO MUNICIPAL DE CAJICÁ EN EL MANEJO DEL PROGRAMA DE SEGUROS QUE PROTEJA LAS PERSONAS, BIENES E INTERESES PATRIMONIALES DE SU PROPIEDAD Y EN GENERAL DE AQUELLOS POR LOS QUE ES LEGALMENTE RESPONSABLE Y SOBRE LOS QUE TENGA INTERÉS DE ASEGURAMIENTO</w:t>
            </w:r>
          </w:p>
        </w:tc>
        <w:tc>
          <w:tcPr>
            <w:tcW w:w="1180" w:type="dxa"/>
            <w:tcBorders>
              <w:top w:val="nil"/>
              <w:left w:val="nil"/>
              <w:bottom w:val="single" w:sz="4" w:space="0" w:color="auto"/>
              <w:right w:val="single" w:sz="4" w:space="0" w:color="auto"/>
            </w:tcBorders>
            <w:noWrap/>
            <w:vAlign w:val="center"/>
          </w:tcPr>
          <w:p w14:paraId="4CC01008"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0</w:t>
            </w:r>
          </w:p>
        </w:tc>
        <w:tc>
          <w:tcPr>
            <w:tcW w:w="1402" w:type="dxa"/>
            <w:tcBorders>
              <w:top w:val="nil"/>
              <w:left w:val="nil"/>
              <w:bottom w:val="single" w:sz="4" w:space="0" w:color="auto"/>
              <w:right w:val="single" w:sz="4" w:space="0" w:color="auto"/>
            </w:tcBorders>
            <w:noWrap/>
            <w:vAlign w:val="center"/>
          </w:tcPr>
          <w:p w14:paraId="7F33E86E"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 xml:space="preserve">12 </w:t>
            </w:r>
            <w:proofErr w:type="gramStart"/>
            <w:r w:rsidRPr="00AE612E">
              <w:rPr>
                <w:rFonts w:asciiTheme="minorHAnsi" w:hAnsiTheme="minorHAnsi" w:cstheme="minorHAnsi"/>
                <w:color w:val="000000"/>
                <w:sz w:val="18"/>
                <w:szCs w:val="18"/>
                <w:highlight w:val="green"/>
              </w:rPr>
              <w:t>Meses</w:t>
            </w:r>
            <w:proofErr w:type="gramEnd"/>
          </w:p>
        </w:tc>
      </w:tr>
      <w:tr w:rsidR="009F2B88" w:rsidRPr="00AE612E" w14:paraId="5E164950" w14:textId="77777777" w:rsidTr="00A616D0">
        <w:trPr>
          <w:trHeight w:val="216"/>
        </w:trPr>
        <w:tc>
          <w:tcPr>
            <w:tcW w:w="1438" w:type="dxa"/>
            <w:tcBorders>
              <w:top w:val="single" w:sz="4" w:space="0" w:color="auto"/>
              <w:left w:val="single" w:sz="4" w:space="0" w:color="auto"/>
              <w:bottom w:val="single" w:sz="4" w:space="0" w:color="auto"/>
              <w:right w:val="single" w:sz="4" w:space="0" w:color="auto"/>
            </w:tcBorders>
            <w:vAlign w:val="center"/>
          </w:tcPr>
          <w:p w14:paraId="1FEF68EF" w14:textId="77777777" w:rsidR="009F2B88" w:rsidRPr="00AE612E" w:rsidRDefault="009F2B88" w:rsidP="00A616D0">
            <w:pPr>
              <w:jc w:val="center"/>
              <w:rPr>
                <w:rFonts w:asciiTheme="minorHAnsi" w:hAnsiTheme="minorHAnsi" w:cstheme="minorHAnsi"/>
                <w:color w:val="000000"/>
                <w:sz w:val="18"/>
                <w:szCs w:val="18"/>
                <w:highlight w:val="green"/>
                <w:shd w:val="clear" w:color="auto" w:fill="CCCCCC"/>
              </w:rPr>
            </w:pPr>
            <w:r w:rsidRPr="00AE612E">
              <w:rPr>
                <w:rFonts w:asciiTheme="minorHAnsi" w:hAnsiTheme="minorHAnsi" w:cstheme="minorHAnsi"/>
                <w:color w:val="000000"/>
                <w:sz w:val="18"/>
                <w:szCs w:val="18"/>
                <w:highlight w:val="green"/>
              </w:rPr>
              <w:t>GC-CM-002-2024</w:t>
            </w:r>
          </w:p>
          <w:p w14:paraId="3E9962B4" w14:textId="77777777" w:rsidR="009F2B88" w:rsidRPr="00AE612E" w:rsidRDefault="009F2B88" w:rsidP="00A616D0">
            <w:pPr>
              <w:jc w:val="center"/>
              <w:rPr>
                <w:rFonts w:asciiTheme="minorHAnsi" w:hAnsiTheme="minorHAnsi" w:cstheme="minorHAnsi"/>
                <w:color w:val="000000"/>
                <w:sz w:val="18"/>
                <w:szCs w:val="18"/>
                <w:highlight w:val="green"/>
                <w:shd w:val="clear" w:color="auto" w:fill="CCCCCC"/>
              </w:rPr>
            </w:pPr>
            <w:r w:rsidRPr="00AE612E">
              <w:rPr>
                <w:rFonts w:asciiTheme="minorHAnsi" w:hAnsiTheme="minorHAnsi" w:cstheme="minorHAnsi"/>
                <w:color w:val="000000"/>
                <w:sz w:val="18"/>
                <w:szCs w:val="18"/>
                <w:highlight w:val="green"/>
              </w:rPr>
              <w:t>INSTITUTO COLOMBIANO</w:t>
            </w:r>
            <w:r w:rsidRPr="00AE612E">
              <w:rPr>
                <w:rFonts w:asciiTheme="minorHAnsi" w:hAnsiTheme="minorHAnsi" w:cstheme="minorHAnsi"/>
                <w:color w:val="000000"/>
                <w:sz w:val="18"/>
                <w:szCs w:val="18"/>
                <w:highlight w:val="green"/>
                <w:shd w:val="clear" w:color="auto" w:fill="CCCCCC"/>
              </w:rPr>
              <w:t xml:space="preserve"> </w:t>
            </w:r>
            <w:r w:rsidRPr="00AE612E">
              <w:rPr>
                <w:rFonts w:asciiTheme="minorHAnsi" w:hAnsiTheme="minorHAnsi" w:cstheme="minorHAnsi"/>
                <w:color w:val="000000"/>
                <w:sz w:val="18"/>
                <w:szCs w:val="18"/>
                <w:highlight w:val="green"/>
              </w:rPr>
              <w:t>AGROPECUARIO – ICA</w:t>
            </w:r>
          </w:p>
        </w:tc>
        <w:tc>
          <w:tcPr>
            <w:tcW w:w="1870" w:type="dxa"/>
            <w:tcBorders>
              <w:top w:val="single" w:sz="4" w:space="0" w:color="auto"/>
              <w:left w:val="nil"/>
              <w:bottom w:val="single" w:sz="4" w:space="0" w:color="auto"/>
              <w:right w:val="single" w:sz="4" w:space="0" w:color="auto"/>
            </w:tcBorders>
            <w:vAlign w:val="center"/>
          </w:tcPr>
          <w:p w14:paraId="1D6C70FA"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Concurso de méritos abierto</w:t>
            </w:r>
          </w:p>
        </w:tc>
        <w:tc>
          <w:tcPr>
            <w:tcW w:w="3703" w:type="dxa"/>
            <w:tcBorders>
              <w:top w:val="single" w:sz="4" w:space="0" w:color="auto"/>
              <w:left w:val="nil"/>
              <w:bottom w:val="single" w:sz="4" w:space="0" w:color="auto"/>
              <w:right w:val="single" w:sz="4" w:space="0" w:color="auto"/>
            </w:tcBorders>
            <w:vAlign w:val="center"/>
          </w:tcPr>
          <w:p w14:paraId="6436FBA3"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CONTRATAR LOS SERVICIOS DE UN</w:t>
            </w:r>
            <w:r w:rsidRPr="00AE612E">
              <w:rPr>
                <w:rFonts w:asciiTheme="minorHAnsi" w:hAnsiTheme="minorHAnsi" w:cstheme="minorHAnsi"/>
                <w:color w:val="000000"/>
                <w:sz w:val="18"/>
                <w:szCs w:val="18"/>
                <w:highlight w:val="green"/>
                <w:shd w:val="clear" w:color="auto" w:fill="CCCCCC"/>
              </w:rPr>
              <w:t xml:space="preserve"> </w:t>
            </w:r>
            <w:r w:rsidRPr="00AE612E">
              <w:rPr>
                <w:rFonts w:asciiTheme="minorHAnsi" w:hAnsiTheme="minorHAnsi" w:cstheme="minorHAnsi"/>
                <w:color w:val="000000"/>
                <w:sz w:val="18"/>
                <w:szCs w:val="18"/>
                <w:highlight w:val="green"/>
              </w:rPr>
              <w:t>INTERMEDIARIO DE SEGUROS, PARA EL INSTITUTO COLOMBIANO AGROPECUARIO – ICA</w:t>
            </w:r>
          </w:p>
        </w:tc>
        <w:tc>
          <w:tcPr>
            <w:tcW w:w="1180" w:type="dxa"/>
            <w:tcBorders>
              <w:top w:val="single" w:sz="4" w:space="0" w:color="auto"/>
              <w:left w:val="nil"/>
              <w:bottom w:val="single" w:sz="4" w:space="0" w:color="auto"/>
              <w:right w:val="single" w:sz="4" w:space="0" w:color="auto"/>
            </w:tcBorders>
            <w:noWrap/>
            <w:vAlign w:val="center"/>
          </w:tcPr>
          <w:p w14:paraId="2C608DBC"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0</w:t>
            </w:r>
          </w:p>
        </w:tc>
        <w:tc>
          <w:tcPr>
            <w:tcW w:w="1402" w:type="dxa"/>
            <w:tcBorders>
              <w:top w:val="single" w:sz="4" w:space="0" w:color="auto"/>
              <w:left w:val="nil"/>
              <w:bottom w:val="single" w:sz="4" w:space="0" w:color="auto"/>
              <w:right w:val="single" w:sz="4" w:space="0" w:color="auto"/>
            </w:tcBorders>
            <w:noWrap/>
            <w:vAlign w:val="center"/>
          </w:tcPr>
          <w:p w14:paraId="0F2A1FE5"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 xml:space="preserve">12 </w:t>
            </w:r>
            <w:proofErr w:type="gramStart"/>
            <w:r w:rsidRPr="00AE612E">
              <w:rPr>
                <w:rFonts w:asciiTheme="minorHAnsi" w:hAnsiTheme="minorHAnsi" w:cstheme="minorHAnsi"/>
                <w:color w:val="000000"/>
                <w:sz w:val="18"/>
                <w:szCs w:val="18"/>
                <w:highlight w:val="green"/>
              </w:rPr>
              <w:t>Meses</w:t>
            </w:r>
            <w:proofErr w:type="gramEnd"/>
          </w:p>
        </w:tc>
      </w:tr>
      <w:tr w:rsidR="009F2B88" w:rsidRPr="00AE612E" w14:paraId="666A2EFE" w14:textId="77777777" w:rsidTr="00A616D0">
        <w:trPr>
          <w:trHeight w:val="216"/>
        </w:trPr>
        <w:tc>
          <w:tcPr>
            <w:tcW w:w="1438" w:type="dxa"/>
            <w:tcBorders>
              <w:top w:val="single" w:sz="4" w:space="0" w:color="auto"/>
              <w:left w:val="single" w:sz="4" w:space="0" w:color="auto"/>
              <w:bottom w:val="single" w:sz="4" w:space="0" w:color="auto"/>
              <w:right w:val="single" w:sz="4" w:space="0" w:color="auto"/>
            </w:tcBorders>
            <w:vAlign w:val="center"/>
          </w:tcPr>
          <w:p w14:paraId="180779F3" w14:textId="77777777" w:rsidR="009F2B88" w:rsidRPr="00AE612E" w:rsidRDefault="009F2B88" w:rsidP="00A616D0">
            <w:pPr>
              <w:jc w:val="center"/>
              <w:rPr>
                <w:rFonts w:asciiTheme="minorHAnsi" w:hAnsiTheme="minorHAnsi" w:cstheme="minorHAnsi"/>
                <w:b/>
                <w:bCs/>
                <w:color w:val="000000"/>
                <w:sz w:val="18"/>
                <w:szCs w:val="18"/>
                <w:highlight w:val="green"/>
              </w:rPr>
            </w:pPr>
            <w:r w:rsidRPr="00AE612E">
              <w:rPr>
                <w:rFonts w:asciiTheme="minorHAnsi" w:hAnsiTheme="minorHAnsi" w:cstheme="minorHAnsi"/>
                <w:color w:val="000000"/>
                <w:sz w:val="18"/>
                <w:szCs w:val="18"/>
                <w:highlight w:val="green"/>
              </w:rPr>
              <w:t xml:space="preserve">Empresa Nacional Promotora del Desarrollo Territorial - </w:t>
            </w:r>
            <w:proofErr w:type="spellStart"/>
            <w:r w:rsidRPr="00AE612E">
              <w:rPr>
                <w:rFonts w:asciiTheme="minorHAnsi" w:hAnsiTheme="minorHAnsi" w:cstheme="minorHAnsi"/>
                <w:color w:val="000000"/>
                <w:sz w:val="18"/>
                <w:szCs w:val="18"/>
                <w:highlight w:val="green"/>
              </w:rPr>
              <w:t>enTerritorio</w:t>
            </w:r>
            <w:proofErr w:type="spellEnd"/>
          </w:p>
        </w:tc>
        <w:tc>
          <w:tcPr>
            <w:tcW w:w="1870" w:type="dxa"/>
            <w:tcBorders>
              <w:top w:val="single" w:sz="4" w:space="0" w:color="auto"/>
              <w:left w:val="nil"/>
              <w:bottom w:val="single" w:sz="4" w:space="0" w:color="auto"/>
              <w:right w:val="single" w:sz="4" w:space="0" w:color="auto"/>
            </w:tcBorders>
            <w:vAlign w:val="center"/>
          </w:tcPr>
          <w:p w14:paraId="71DE2ABA"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Concurso de méritos abierto</w:t>
            </w:r>
          </w:p>
        </w:tc>
        <w:tc>
          <w:tcPr>
            <w:tcW w:w="3703" w:type="dxa"/>
            <w:tcBorders>
              <w:top w:val="single" w:sz="4" w:space="0" w:color="auto"/>
              <w:left w:val="nil"/>
              <w:bottom w:val="single" w:sz="4" w:space="0" w:color="auto"/>
              <w:right w:val="single" w:sz="4" w:space="0" w:color="auto"/>
            </w:tcBorders>
            <w:vAlign w:val="center"/>
          </w:tcPr>
          <w:p w14:paraId="731A1E66"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PRESTACIÓN DE SERVICIOS COMO INTERMEDIARIO DE SEGUROS PARA LA ADQUISICIÓN DE PÓLIZAS DE CUMPLIMIENTO DE LOS DISTINTOS CONTRATOS Y CONVENIOS FIRMADOS POR ENTERRITORIO</w:t>
            </w:r>
          </w:p>
        </w:tc>
        <w:tc>
          <w:tcPr>
            <w:tcW w:w="1180" w:type="dxa"/>
            <w:tcBorders>
              <w:top w:val="single" w:sz="4" w:space="0" w:color="auto"/>
              <w:left w:val="nil"/>
              <w:bottom w:val="single" w:sz="4" w:space="0" w:color="auto"/>
              <w:right w:val="single" w:sz="4" w:space="0" w:color="auto"/>
            </w:tcBorders>
            <w:noWrap/>
            <w:vAlign w:val="center"/>
          </w:tcPr>
          <w:p w14:paraId="4C0D2092"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0</w:t>
            </w:r>
          </w:p>
        </w:tc>
        <w:tc>
          <w:tcPr>
            <w:tcW w:w="1402" w:type="dxa"/>
            <w:tcBorders>
              <w:top w:val="single" w:sz="4" w:space="0" w:color="auto"/>
              <w:left w:val="nil"/>
              <w:bottom w:val="single" w:sz="4" w:space="0" w:color="auto"/>
              <w:right w:val="single" w:sz="4" w:space="0" w:color="auto"/>
            </w:tcBorders>
            <w:noWrap/>
            <w:vAlign w:val="center"/>
          </w:tcPr>
          <w:p w14:paraId="2EA76213"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t>12 meses</w:t>
            </w:r>
          </w:p>
        </w:tc>
      </w:tr>
      <w:tr w:rsidR="009F2B88" w:rsidRPr="00041902" w14:paraId="721CA938" w14:textId="77777777" w:rsidTr="00A616D0">
        <w:trPr>
          <w:trHeight w:val="216"/>
        </w:trPr>
        <w:tc>
          <w:tcPr>
            <w:tcW w:w="1438" w:type="dxa"/>
            <w:tcBorders>
              <w:top w:val="single" w:sz="4" w:space="0" w:color="auto"/>
              <w:left w:val="single" w:sz="4" w:space="0" w:color="auto"/>
              <w:bottom w:val="single" w:sz="4" w:space="0" w:color="auto"/>
              <w:right w:val="single" w:sz="4" w:space="0" w:color="auto"/>
            </w:tcBorders>
            <w:vAlign w:val="center"/>
          </w:tcPr>
          <w:p w14:paraId="1299BA0A" w14:textId="77777777" w:rsidR="009F2B88" w:rsidRPr="00AE612E" w:rsidRDefault="009F2B88" w:rsidP="00A616D0">
            <w:pPr>
              <w:jc w:val="center"/>
              <w:rPr>
                <w:rFonts w:asciiTheme="minorHAnsi" w:hAnsiTheme="minorHAnsi" w:cstheme="minorHAnsi"/>
                <w:b/>
                <w:bCs/>
                <w:color w:val="000000"/>
                <w:sz w:val="18"/>
                <w:szCs w:val="18"/>
                <w:highlight w:val="green"/>
              </w:rPr>
            </w:pPr>
            <w:r w:rsidRPr="00AE612E">
              <w:rPr>
                <w:rFonts w:asciiTheme="minorHAnsi" w:hAnsiTheme="minorHAnsi" w:cstheme="minorHAnsi"/>
                <w:color w:val="000000"/>
                <w:sz w:val="18"/>
                <w:szCs w:val="18"/>
                <w:highlight w:val="green"/>
              </w:rPr>
              <w:t>MUNICIPIO DE VICTORIA</w:t>
            </w:r>
          </w:p>
        </w:tc>
        <w:tc>
          <w:tcPr>
            <w:tcW w:w="1870" w:type="dxa"/>
            <w:tcBorders>
              <w:top w:val="single" w:sz="4" w:space="0" w:color="auto"/>
              <w:left w:val="nil"/>
              <w:bottom w:val="single" w:sz="4" w:space="0" w:color="auto"/>
              <w:right w:val="single" w:sz="4" w:space="0" w:color="auto"/>
            </w:tcBorders>
            <w:vAlign w:val="center"/>
          </w:tcPr>
          <w:p w14:paraId="2E82DD76"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shd w:val="clear" w:color="auto" w:fill="FFFFFF"/>
              </w:rPr>
              <w:t>Contratación directa.</w:t>
            </w:r>
          </w:p>
        </w:tc>
        <w:tc>
          <w:tcPr>
            <w:tcW w:w="3703" w:type="dxa"/>
            <w:tcBorders>
              <w:top w:val="single" w:sz="4" w:space="0" w:color="auto"/>
              <w:left w:val="nil"/>
              <w:bottom w:val="single" w:sz="4" w:space="0" w:color="auto"/>
              <w:right w:val="single" w:sz="4" w:space="0" w:color="auto"/>
            </w:tcBorders>
            <w:vAlign w:val="center"/>
          </w:tcPr>
          <w:p w14:paraId="6D76CACF"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shd w:val="clear" w:color="auto" w:fill="FFFFFF"/>
              </w:rPr>
              <w:t xml:space="preserve">PRESTACIÓN DE SERVICIOS PROFESIONALES COMO INTERMEDIARIO DE SEGUROS EN LA ASESORIA JURÍDICA, TÉCNICA, FINANCIERA Y EN </w:t>
            </w:r>
            <w:r w:rsidRPr="00AE612E">
              <w:rPr>
                <w:rFonts w:asciiTheme="minorHAnsi" w:hAnsiTheme="minorHAnsi" w:cstheme="minorHAnsi"/>
                <w:color w:val="000000"/>
                <w:sz w:val="18"/>
                <w:szCs w:val="18"/>
                <w:highlight w:val="green"/>
                <w:shd w:val="clear" w:color="auto" w:fill="FFFFFF"/>
              </w:rPr>
              <w:lastRenderedPageBreak/>
              <w:t>EL MANEJO E INTERMEDIACIÓN DEL PROGRAMA DE SEGUROS DE LA ALCALDIA MUNICIPAL DE LA VICTORIA DESTINADO A PROTEGER EL PERSONAL, BIENES E INTERESES PATRIMONIALES DE LA ENTIDAD Y AQUELLOS POR LOS QUE ES O SEA LEGALMENTE RESPONSABLE</w:t>
            </w:r>
          </w:p>
        </w:tc>
        <w:tc>
          <w:tcPr>
            <w:tcW w:w="1180" w:type="dxa"/>
            <w:tcBorders>
              <w:top w:val="single" w:sz="4" w:space="0" w:color="auto"/>
              <w:left w:val="nil"/>
              <w:bottom w:val="single" w:sz="4" w:space="0" w:color="auto"/>
              <w:right w:val="single" w:sz="4" w:space="0" w:color="auto"/>
            </w:tcBorders>
            <w:noWrap/>
            <w:vAlign w:val="center"/>
          </w:tcPr>
          <w:p w14:paraId="014F6A54" w14:textId="77777777" w:rsidR="009F2B88" w:rsidRPr="00AE612E" w:rsidRDefault="009F2B88" w:rsidP="00A616D0">
            <w:pPr>
              <w:jc w:val="center"/>
              <w:rPr>
                <w:rFonts w:asciiTheme="minorHAnsi" w:hAnsiTheme="minorHAnsi" w:cstheme="minorHAnsi"/>
                <w:color w:val="000000"/>
                <w:sz w:val="18"/>
                <w:szCs w:val="18"/>
                <w:highlight w:val="green"/>
              </w:rPr>
            </w:pPr>
            <w:r w:rsidRPr="00AE612E">
              <w:rPr>
                <w:rFonts w:asciiTheme="minorHAnsi" w:hAnsiTheme="minorHAnsi" w:cstheme="minorHAnsi"/>
                <w:color w:val="000000"/>
                <w:sz w:val="18"/>
                <w:szCs w:val="18"/>
                <w:highlight w:val="green"/>
              </w:rPr>
              <w:lastRenderedPageBreak/>
              <w:t>0</w:t>
            </w:r>
          </w:p>
        </w:tc>
        <w:tc>
          <w:tcPr>
            <w:tcW w:w="1402" w:type="dxa"/>
            <w:tcBorders>
              <w:top w:val="single" w:sz="4" w:space="0" w:color="auto"/>
              <w:left w:val="nil"/>
              <w:bottom w:val="single" w:sz="4" w:space="0" w:color="auto"/>
              <w:right w:val="single" w:sz="4" w:space="0" w:color="auto"/>
            </w:tcBorders>
            <w:noWrap/>
            <w:vAlign w:val="center"/>
          </w:tcPr>
          <w:p w14:paraId="5EAEC732" w14:textId="77777777" w:rsidR="009F2B88" w:rsidRPr="00041902" w:rsidRDefault="009F2B88" w:rsidP="00A616D0">
            <w:pPr>
              <w:jc w:val="center"/>
              <w:rPr>
                <w:rFonts w:asciiTheme="minorHAnsi" w:hAnsiTheme="minorHAnsi" w:cstheme="minorHAnsi"/>
                <w:color w:val="000000"/>
                <w:sz w:val="18"/>
                <w:szCs w:val="18"/>
              </w:rPr>
            </w:pPr>
            <w:r w:rsidRPr="00AE612E">
              <w:rPr>
                <w:rFonts w:asciiTheme="minorHAnsi" w:hAnsiTheme="minorHAnsi" w:cstheme="minorHAnsi"/>
                <w:color w:val="000000"/>
                <w:sz w:val="18"/>
                <w:szCs w:val="18"/>
                <w:highlight w:val="green"/>
              </w:rPr>
              <w:t>365 días</w:t>
            </w:r>
          </w:p>
        </w:tc>
      </w:tr>
    </w:tbl>
    <w:p w14:paraId="5094CFC4" w14:textId="77777777" w:rsidR="009F2B88" w:rsidRPr="00041902" w:rsidRDefault="009F2B88" w:rsidP="009F2B88">
      <w:pPr>
        <w:pStyle w:val="Default"/>
        <w:rPr>
          <w:rFonts w:asciiTheme="minorHAnsi" w:hAnsiTheme="minorHAnsi" w:cstheme="minorHAnsi"/>
          <w:color w:val="auto"/>
          <w:sz w:val="22"/>
          <w:szCs w:val="22"/>
        </w:rPr>
      </w:pPr>
    </w:p>
    <w:p w14:paraId="77F366F2" w14:textId="77777777" w:rsidR="009F2B88" w:rsidRDefault="009F2B88" w:rsidP="009F2B88">
      <w:pPr>
        <w:pStyle w:val="Default"/>
        <w:rPr>
          <w:rFonts w:asciiTheme="minorHAnsi" w:hAnsiTheme="minorHAnsi" w:cstheme="minorHAnsi"/>
          <w:color w:val="auto"/>
          <w:sz w:val="22"/>
          <w:szCs w:val="22"/>
        </w:rPr>
      </w:pPr>
    </w:p>
    <w:p w14:paraId="62C15028" w14:textId="77777777" w:rsidR="00972904" w:rsidRDefault="00972904" w:rsidP="009F2B88">
      <w:pPr>
        <w:pStyle w:val="Default"/>
        <w:rPr>
          <w:rFonts w:asciiTheme="minorHAnsi" w:hAnsiTheme="minorHAnsi" w:cstheme="minorHAnsi"/>
          <w:color w:val="auto"/>
          <w:sz w:val="22"/>
          <w:szCs w:val="22"/>
        </w:rPr>
      </w:pPr>
    </w:p>
    <w:p w14:paraId="2FC42BB6" w14:textId="77777777" w:rsidR="00972904" w:rsidRDefault="00972904" w:rsidP="009F2B88">
      <w:pPr>
        <w:pStyle w:val="Default"/>
        <w:rPr>
          <w:rFonts w:asciiTheme="minorHAnsi" w:hAnsiTheme="minorHAnsi" w:cstheme="minorHAnsi"/>
          <w:color w:val="auto"/>
          <w:sz w:val="22"/>
          <w:szCs w:val="22"/>
        </w:rPr>
      </w:pPr>
    </w:p>
    <w:p w14:paraId="530A5DE1" w14:textId="77777777" w:rsidR="00972904" w:rsidRDefault="00972904" w:rsidP="009F2B88">
      <w:pPr>
        <w:pStyle w:val="Default"/>
        <w:rPr>
          <w:rFonts w:asciiTheme="minorHAnsi" w:hAnsiTheme="minorHAnsi" w:cstheme="minorHAnsi"/>
          <w:color w:val="auto"/>
          <w:sz w:val="22"/>
          <w:szCs w:val="22"/>
        </w:rPr>
      </w:pPr>
    </w:p>
    <w:p w14:paraId="22820461" w14:textId="77777777" w:rsidR="00972904" w:rsidRDefault="00972904" w:rsidP="009F2B88">
      <w:pPr>
        <w:pStyle w:val="Default"/>
        <w:rPr>
          <w:rFonts w:asciiTheme="minorHAnsi" w:hAnsiTheme="minorHAnsi" w:cstheme="minorHAnsi"/>
          <w:color w:val="auto"/>
          <w:sz w:val="22"/>
          <w:szCs w:val="22"/>
        </w:rPr>
      </w:pPr>
    </w:p>
    <w:p w14:paraId="10CA44F9" w14:textId="77777777" w:rsidR="00972904" w:rsidRDefault="00972904" w:rsidP="009F2B88">
      <w:pPr>
        <w:pStyle w:val="Default"/>
        <w:rPr>
          <w:rFonts w:asciiTheme="minorHAnsi" w:hAnsiTheme="minorHAnsi" w:cstheme="minorHAnsi"/>
          <w:color w:val="auto"/>
          <w:sz w:val="22"/>
          <w:szCs w:val="22"/>
        </w:rPr>
      </w:pPr>
    </w:p>
    <w:p w14:paraId="4C999CCD" w14:textId="77777777" w:rsidR="00972904" w:rsidRDefault="00972904" w:rsidP="009F2B88">
      <w:pPr>
        <w:pStyle w:val="Default"/>
        <w:rPr>
          <w:rFonts w:asciiTheme="minorHAnsi" w:hAnsiTheme="minorHAnsi" w:cstheme="minorHAnsi"/>
          <w:color w:val="auto"/>
          <w:sz w:val="22"/>
          <w:szCs w:val="22"/>
        </w:rPr>
      </w:pPr>
    </w:p>
    <w:p w14:paraId="633ACAE7" w14:textId="77777777" w:rsidR="00972904" w:rsidRPr="00041902" w:rsidRDefault="00972904" w:rsidP="009F2B88">
      <w:pPr>
        <w:pStyle w:val="Default"/>
        <w:rPr>
          <w:rFonts w:asciiTheme="minorHAnsi" w:hAnsiTheme="minorHAnsi" w:cstheme="minorHAnsi"/>
          <w:color w:val="auto"/>
          <w:sz w:val="22"/>
          <w:szCs w:val="22"/>
        </w:rPr>
      </w:pPr>
    </w:p>
    <w:p w14:paraId="4FC13C76" w14:textId="77777777" w:rsidR="009F2B88" w:rsidRPr="009F2B88" w:rsidRDefault="009F2B88" w:rsidP="009F2B88">
      <w:pPr>
        <w:pStyle w:val="Default"/>
        <w:widowControl/>
        <w:numPr>
          <w:ilvl w:val="1"/>
          <w:numId w:val="14"/>
        </w:numPr>
        <w:rPr>
          <w:rFonts w:asciiTheme="minorHAnsi" w:hAnsiTheme="minorHAnsi" w:cstheme="minorHAnsi"/>
          <w:color w:val="auto"/>
          <w:sz w:val="22"/>
          <w:szCs w:val="22"/>
          <w:lang w:val="es-CO"/>
        </w:rPr>
      </w:pPr>
      <w:r w:rsidRPr="009F2B88">
        <w:rPr>
          <w:rFonts w:asciiTheme="minorHAnsi" w:hAnsiTheme="minorHAnsi" w:cstheme="minorHAnsi"/>
          <w:b/>
          <w:color w:val="auto"/>
          <w:sz w:val="22"/>
          <w:szCs w:val="22"/>
          <w:lang w:val="es-CO"/>
        </w:rPr>
        <w:t>LEY DE EMPRENDIMIENTO</w:t>
      </w:r>
      <w:r w:rsidRPr="009F2B88">
        <w:rPr>
          <w:rFonts w:asciiTheme="minorHAnsi" w:hAnsiTheme="minorHAnsi" w:cstheme="minorHAnsi"/>
          <w:color w:val="auto"/>
          <w:sz w:val="22"/>
          <w:szCs w:val="22"/>
          <w:lang w:val="es-CO"/>
        </w:rPr>
        <w:t>. (</w:t>
      </w:r>
      <w:r w:rsidRPr="009F2B88">
        <w:rPr>
          <w:rStyle w:val="Textoennegrita"/>
          <w:rFonts w:asciiTheme="minorHAnsi" w:hAnsiTheme="minorHAnsi" w:cstheme="minorHAnsi"/>
          <w:color w:val="auto"/>
          <w:sz w:val="22"/>
          <w:szCs w:val="22"/>
          <w:shd w:val="clear" w:color="auto" w:fill="FFFFFF"/>
          <w:lang w:val="es-CO"/>
        </w:rPr>
        <w:t>Ley 2069 de 2020)</w:t>
      </w:r>
    </w:p>
    <w:p w14:paraId="43396018" w14:textId="77777777" w:rsidR="009F2B88" w:rsidRPr="009F2B88" w:rsidRDefault="009F2B88" w:rsidP="009F2B88">
      <w:pPr>
        <w:pStyle w:val="Default"/>
        <w:rPr>
          <w:rFonts w:asciiTheme="minorHAnsi" w:hAnsiTheme="minorHAnsi" w:cstheme="minorHAnsi"/>
          <w:sz w:val="22"/>
          <w:szCs w:val="22"/>
          <w:lang w:val="es-CO"/>
        </w:rPr>
      </w:pPr>
    </w:p>
    <w:p w14:paraId="0B2861C6" w14:textId="77777777" w:rsidR="009F2B88" w:rsidRPr="00AE612E" w:rsidRDefault="009F2B88" w:rsidP="009F2B88">
      <w:pPr>
        <w:pStyle w:val="Default"/>
        <w:widowControl/>
        <w:numPr>
          <w:ilvl w:val="0"/>
          <w:numId w:val="14"/>
        </w:numPr>
        <w:jc w:val="both"/>
        <w:rPr>
          <w:rFonts w:asciiTheme="minorHAnsi" w:hAnsiTheme="minorHAnsi" w:cstheme="minorHAnsi"/>
          <w:sz w:val="22"/>
          <w:szCs w:val="22"/>
          <w:highlight w:val="green"/>
          <w:lang w:val="es-CO"/>
        </w:rPr>
      </w:pPr>
      <w:proofErr w:type="spellStart"/>
      <w:r w:rsidRPr="00AE612E">
        <w:rPr>
          <w:rFonts w:asciiTheme="minorHAnsi" w:hAnsiTheme="minorHAnsi" w:cstheme="minorHAnsi"/>
          <w:sz w:val="22"/>
          <w:szCs w:val="22"/>
          <w:highlight w:val="green"/>
          <w:lang w:val="es-CO"/>
        </w:rPr>
        <w:t>Mipymes</w:t>
      </w:r>
      <w:proofErr w:type="spellEnd"/>
      <w:r w:rsidRPr="00AE612E">
        <w:rPr>
          <w:rFonts w:asciiTheme="minorHAnsi" w:hAnsiTheme="minorHAnsi" w:cstheme="minorHAnsi"/>
          <w:sz w:val="22"/>
          <w:szCs w:val="22"/>
          <w:highlight w:val="green"/>
          <w:lang w:val="es-CO"/>
        </w:rPr>
        <w:t xml:space="preserve"> en el sistema de compras públicas. </w:t>
      </w:r>
    </w:p>
    <w:p w14:paraId="273B8F5F" w14:textId="77777777" w:rsidR="009F2B88" w:rsidRPr="00AE612E" w:rsidRDefault="009F2B88" w:rsidP="009F2B88">
      <w:pPr>
        <w:pStyle w:val="Default"/>
        <w:ind w:left="1080"/>
        <w:jc w:val="both"/>
        <w:rPr>
          <w:rFonts w:asciiTheme="minorHAnsi" w:hAnsiTheme="minorHAnsi" w:cstheme="minorHAnsi"/>
          <w:sz w:val="22"/>
          <w:szCs w:val="22"/>
          <w:highlight w:val="green"/>
          <w:lang w:val="es-CO"/>
        </w:rPr>
      </w:pPr>
    </w:p>
    <w:p w14:paraId="32F7E9F5"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Frente al cumplimiento del artículo 3° del Decreto 1860 de 2021 (Artículo 2.2.1.2.4.2.18. del Decreto 1082 de 2015), la Entidad deberá establecer criterios habilitantes diferenciales para las </w:t>
      </w:r>
      <w:proofErr w:type="spellStart"/>
      <w:r w:rsidRPr="00AE612E">
        <w:rPr>
          <w:rFonts w:asciiTheme="minorHAnsi" w:hAnsiTheme="minorHAnsi" w:cstheme="minorHAnsi"/>
          <w:sz w:val="22"/>
          <w:szCs w:val="22"/>
          <w:highlight w:val="green"/>
          <w:lang w:val="es-CO"/>
        </w:rPr>
        <w:t>Mipymes</w:t>
      </w:r>
      <w:proofErr w:type="spellEnd"/>
      <w:r w:rsidRPr="00AE612E">
        <w:rPr>
          <w:rFonts w:asciiTheme="minorHAnsi" w:hAnsiTheme="minorHAnsi" w:cstheme="minorHAnsi"/>
          <w:sz w:val="22"/>
          <w:szCs w:val="22"/>
          <w:highlight w:val="green"/>
          <w:lang w:val="es-CO"/>
        </w:rPr>
        <w:t xml:space="preserve"> que presenten en el proceso de selección para promover, y facilitar su participación en los procesos competitivos. </w:t>
      </w:r>
    </w:p>
    <w:p w14:paraId="6BD7298D"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3862065A"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Estos criterios habilitantes diferenciales deberán fijarse respetando las condiciones habilitantes requeridas para el cumplimiento adecuado del contrato que se busca suscribir, teniendo en cuenta el alcance de las obligaciones. </w:t>
      </w:r>
    </w:p>
    <w:p w14:paraId="239A758D"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779C674E"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Ahora bien y una vez realizado el análisis y estudio de la oferta respecto de la necesidad que se pretende satisfacer se logró evidenciar que existen un gran número de empresas del sector de </w:t>
      </w:r>
      <w:proofErr w:type="spellStart"/>
      <w:r w:rsidRPr="00AE612E">
        <w:rPr>
          <w:rFonts w:asciiTheme="minorHAnsi" w:hAnsiTheme="minorHAnsi" w:cstheme="minorHAnsi"/>
          <w:sz w:val="22"/>
          <w:szCs w:val="22"/>
          <w:highlight w:val="green"/>
          <w:lang w:val="es-CO"/>
        </w:rPr>
        <w:t>Mipymes</w:t>
      </w:r>
      <w:proofErr w:type="spellEnd"/>
      <w:r w:rsidRPr="00AE612E">
        <w:rPr>
          <w:rFonts w:asciiTheme="minorHAnsi" w:hAnsiTheme="minorHAnsi" w:cstheme="minorHAnsi"/>
          <w:sz w:val="22"/>
          <w:szCs w:val="22"/>
          <w:highlight w:val="green"/>
          <w:lang w:val="es-CO"/>
        </w:rPr>
        <w:t xml:space="preserve"> dedicadas a prestar el servicio requerido - Actividades de agentes y corredores de seguros. </w:t>
      </w:r>
    </w:p>
    <w:p w14:paraId="4634074F"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550931CC"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En desarrollo de lo anterior, con la finalidad de beneficiar a las </w:t>
      </w:r>
      <w:proofErr w:type="spellStart"/>
      <w:r w:rsidRPr="00AE612E">
        <w:rPr>
          <w:rFonts w:asciiTheme="minorHAnsi" w:hAnsiTheme="minorHAnsi" w:cstheme="minorHAnsi"/>
          <w:sz w:val="22"/>
          <w:szCs w:val="22"/>
          <w:highlight w:val="green"/>
          <w:lang w:val="es-CO"/>
        </w:rPr>
        <w:t>Mipyme</w:t>
      </w:r>
      <w:proofErr w:type="spellEnd"/>
      <w:r w:rsidRPr="00AE612E">
        <w:rPr>
          <w:rFonts w:asciiTheme="minorHAnsi" w:hAnsiTheme="minorHAnsi" w:cstheme="minorHAnsi"/>
          <w:sz w:val="22"/>
          <w:szCs w:val="22"/>
          <w:highlight w:val="green"/>
          <w:lang w:val="es-CO"/>
        </w:rPr>
        <w:t>, se establecerán condiciones de habilitación y puntaje más Favorables.</w:t>
      </w:r>
    </w:p>
    <w:p w14:paraId="5CC83F9E"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093D6871" w14:textId="77777777" w:rsidR="009F2B88" w:rsidRPr="00AE612E" w:rsidRDefault="009F2B88" w:rsidP="009F2B88">
      <w:pPr>
        <w:pStyle w:val="Default"/>
        <w:widowControl/>
        <w:numPr>
          <w:ilvl w:val="0"/>
          <w:numId w:val="14"/>
        </w:numPr>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Emprendimientos y empresas de mujeres. </w:t>
      </w:r>
    </w:p>
    <w:p w14:paraId="13DC7AF0"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0C651265"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Cumpliendo con el decreto 1860 de 2021 “Por el cual se modifica y adiciona el Decreto 1082 de 2015, Único Reglamentario del Sector Administrativo de Planeación Nacional, con el fin reglamentar los artículos 30, 31, 32, 34 y 35 de la Ley 2069 de 2020, en lo relativo al sistema de compras públicas y se dictan otras disposiciones”, la entidad realiza una investigación en las diferentes fuentes de información como lo son:</w:t>
      </w:r>
    </w:p>
    <w:p w14:paraId="1C7F71ED"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604264A4"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Asociación Nacional de Empresarios de Colombia ANDI (Cámaras Sectoriales) </w:t>
      </w:r>
    </w:p>
    <w:p w14:paraId="6E1BD5B8"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Banco de la Republica BANREP</w:t>
      </w:r>
    </w:p>
    <w:p w14:paraId="3CE2F47F"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Departamento Administrativo Nacional de Estadísticas DANE (Boletines e Informes) </w:t>
      </w:r>
    </w:p>
    <w:p w14:paraId="69CA8154"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Datos Abiertos SECOP </w:t>
      </w:r>
    </w:p>
    <w:p w14:paraId="18D06183"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Ministerio de Comercio</w:t>
      </w:r>
    </w:p>
    <w:p w14:paraId="0D39AAF2"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Superintendencia de Sociedades </w:t>
      </w:r>
    </w:p>
    <w:p w14:paraId="5B7B2C74" w14:textId="77777777" w:rsidR="00406A48" w:rsidRPr="00AE612E" w:rsidRDefault="00406A48" w:rsidP="009F2B88">
      <w:pPr>
        <w:pStyle w:val="Default"/>
        <w:jc w:val="both"/>
        <w:rPr>
          <w:rFonts w:asciiTheme="minorHAnsi" w:hAnsiTheme="minorHAnsi" w:cstheme="minorHAnsi"/>
          <w:sz w:val="22"/>
          <w:szCs w:val="22"/>
          <w:highlight w:val="green"/>
          <w:lang w:val="es-CO"/>
        </w:rPr>
      </w:pPr>
    </w:p>
    <w:p w14:paraId="785FBCE9"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Superintendencia de Industria y Comercio</w:t>
      </w:r>
    </w:p>
    <w:p w14:paraId="0BDF1CED"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t xml:space="preserve"> - Cámaras de Comercio (Registro Único Empresarial RUES) </w:t>
      </w:r>
    </w:p>
    <w:p w14:paraId="09656154"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115393F5" w14:textId="77777777" w:rsidR="009F2B88" w:rsidRPr="00AE612E" w:rsidRDefault="009F2B88" w:rsidP="009F2B88">
      <w:pPr>
        <w:pStyle w:val="Default"/>
        <w:jc w:val="both"/>
        <w:rPr>
          <w:rFonts w:asciiTheme="minorHAnsi" w:hAnsiTheme="minorHAnsi" w:cstheme="minorHAnsi"/>
          <w:sz w:val="22"/>
          <w:szCs w:val="22"/>
          <w:highlight w:val="green"/>
          <w:lang w:val="es-CO"/>
        </w:rPr>
      </w:pPr>
      <w:r w:rsidRPr="00AE612E">
        <w:rPr>
          <w:rFonts w:asciiTheme="minorHAnsi" w:hAnsiTheme="minorHAnsi" w:cstheme="minorHAnsi"/>
          <w:sz w:val="22"/>
          <w:szCs w:val="22"/>
          <w:highlight w:val="green"/>
          <w:lang w:val="es-CO"/>
        </w:rPr>
        <w:lastRenderedPageBreak/>
        <w:t>En los cuales se buscó información pertinente para poder evidenciar la existencia de este tipo de empresas en el Sector de TI. Como resultado se obtiene que, no hay ninguna base que disponga de la información mínima necesaria para identificar que existen empresas de Emprendimientos o Empresas de Mujeres, toda vez, que, en los informes de cada una de las fuentes mencionadas, no existe aún tal discriminación. El ejemplo más cercano, pero aún no posible, es la consulta del RUES, dentro del Registro Único de Proponentes o en los certificados de existencia y representación legal, no obstante, la información allí expresada no es completa en el sentido que en el caso de las Sociedades por Acciones Simplificadas – SAS – estos documentos no permiten evidenciar las personas accionistas de la empresa, ya que esta información se encuentra en el documento privado de constitución de la sociedad el cual no es público o visible.</w:t>
      </w:r>
    </w:p>
    <w:p w14:paraId="4E5FD992" w14:textId="77777777" w:rsidR="009F2B88" w:rsidRPr="00AE612E" w:rsidRDefault="009F2B88" w:rsidP="009F2B88">
      <w:pPr>
        <w:pStyle w:val="Default"/>
        <w:jc w:val="both"/>
        <w:rPr>
          <w:rFonts w:asciiTheme="minorHAnsi" w:hAnsiTheme="minorHAnsi" w:cstheme="minorHAnsi"/>
          <w:sz w:val="22"/>
          <w:szCs w:val="22"/>
          <w:highlight w:val="green"/>
          <w:lang w:val="es-CO"/>
        </w:rPr>
      </w:pPr>
    </w:p>
    <w:p w14:paraId="4E2A9F63" w14:textId="77777777" w:rsidR="009F2B88" w:rsidRPr="009F2B88" w:rsidRDefault="009F2B88" w:rsidP="009F2B88">
      <w:pPr>
        <w:pStyle w:val="Default"/>
        <w:jc w:val="both"/>
        <w:rPr>
          <w:rFonts w:asciiTheme="minorHAnsi" w:hAnsiTheme="minorHAnsi" w:cstheme="minorHAnsi"/>
          <w:sz w:val="22"/>
          <w:szCs w:val="22"/>
          <w:lang w:val="es-CO"/>
        </w:rPr>
      </w:pPr>
      <w:r w:rsidRPr="00AE612E">
        <w:rPr>
          <w:rFonts w:asciiTheme="minorHAnsi" w:hAnsiTheme="minorHAnsi" w:cstheme="minorHAnsi"/>
          <w:sz w:val="22"/>
          <w:szCs w:val="22"/>
          <w:highlight w:val="green"/>
          <w:lang w:val="es-CO"/>
        </w:rPr>
        <w:t>En desarrollo de lo anterior, con la finalidad de garantizar la concurrencia de proponentes en el proceso de selección y beneficiar a los emprendimientos y empresas de mujeres, se establecerán se establecerán condiciones de habilitación y puntaje más Favorables.</w:t>
      </w:r>
    </w:p>
    <w:p w14:paraId="543181A4" w14:textId="77777777" w:rsidR="009F2B88" w:rsidRPr="009F2B88" w:rsidRDefault="009F2B88" w:rsidP="009F2B88">
      <w:pPr>
        <w:pStyle w:val="Default"/>
        <w:jc w:val="both"/>
        <w:rPr>
          <w:rFonts w:asciiTheme="minorHAnsi" w:hAnsiTheme="minorHAnsi" w:cstheme="minorHAnsi"/>
          <w:color w:val="auto"/>
          <w:sz w:val="22"/>
          <w:szCs w:val="22"/>
          <w:lang w:val="es-CO"/>
        </w:rPr>
      </w:pPr>
    </w:p>
    <w:p w14:paraId="0A4740E8" w14:textId="77777777" w:rsidR="009F2B88" w:rsidRPr="009F2B88" w:rsidRDefault="009F2B88" w:rsidP="009F2B88">
      <w:pPr>
        <w:pStyle w:val="Default"/>
        <w:jc w:val="both"/>
        <w:rPr>
          <w:rFonts w:asciiTheme="minorHAnsi" w:hAnsiTheme="minorHAnsi" w:cstheme="minorHAnsi"/>
          <w:color w:val="auto"/>
          <w:sz w:val="22"/>
          <w:szCs w:val="22"/>
          <w:lang w:val="es-CO"/>
        </w:rPr>
      </w:pPr>
    </w:p>
    <w:p w14:paraId="6A91ACF7" w14:textId="77777777" w:rsidR="009F2B88" w:rsidRPr="00041902" w:rsidRDefault="009F2B88" w:rsidP="009F2B88">
      <w:pPr>
        <w:ind w:right="88"/>
        <w:jc w:val="both"/>
        <w:rPr>
          <w:rFonts w:asciiTheme="minorHAnsi" w:hAnsiTheme="minorHAnsi" w:cstheme="minorHAnsi"/>
          <w:b/>
          <w:spacing w:val="-3"/>
        </w:rPr>
      </w:pPr>
      <w:r w:rsidRPr="00041902">
        <w:rPr>
          <w:rFonts w:asciiTheme="minorHAnsi" w:hAnsiTheme="minorHAnsi" w:cstheme="minorHAnsi"/>
          <w:b/>
          <w:spacing w:val="-3"/>
        </w:rPr>
        <w:t>1.9. RESUMEN COMPARATIVO CONDICIONES DEL ESTUDIO DE MERCADO DE PROVEEDORES.</w:t>
      </w:r>
    </w:p>
    <w:p w14:paraId="71A571C5" w14:textId="77777777" w:rsidR="009F2B88" w:rsidRPr="00041902" w:rsidRDefault="009F2B88" w:rsidP="009F2B88">
      <w:pPr>
        <w:ind w:left="360" w:right="88"/>
        <w:jc w:val="both"/>
        <w:rPr>
          <w:rFonts w:asciiTheme="minorHAnsi" w:hAnsiTheme="minorHAnsi" w:cstheme="minorHAnsi"/>
          <w:b/>
          <w:spacing w:val="-3"/>
        </w:rPr>
      </w:pPr>
    </w:p>
    <w:p w14:paraId="730A7DF0" w14:textId="77777777" w:rsidR="009F2B88" w:rsidRPr="00AE612E" w:rsidRDefault="009F2B88" w:rsidP="009F2B88">
      <w:pPr>
        <w:widowControl/>
        <w:numPr>
          <w:ilvl w:val="0"/>
          <w:numId w:val="13"/>
        </w:numPr>
        <w:overflowPunct w:val="0"/>
        <w:adjustRightInd w:val="0"/>
        <w:textAlignment w:val="baseline"/>
        <w:rPr>
          <w:rFonts w:asciiTheme="minorHAnsi" w:hAnsiTheme="minorHAnsi" w:cstheme="minorHAnsi"/>
          <w:highlight w:val="green"/>
          <w:lang w:val="es-ES_tradnl"/>
        </w:rPr>
      </w:pPr>
      <w:r w:rsidRPr="00AE612E">
        <w:rPr>
          <w:rFonts w:asciiTheme="minorHAnsi" w:hAnsiTheme="minorHAnsi" w:cstheme="minorHAnsi"/>
          <w:highlight w:val="green"/>
          <w:lang w:val="es-ES_tradnl"/>
        </w:rPr>
        <w:t xml:space="preserve">En virtud del análisis técnico económico realizado se concluye que:  </w:t>
      </w:r>
    </w:p>
    <w:p w14:paraId="748E4543" w14:textId="77777777" w:rsidR="009F2B88" w:rsidRPr="00AE612E" w:rsidRDefault="009F2B88" w:rsidP="009F2B88">
      <w:pPr>
        <w:overflowPunct w:val="0"/>
        <w:adjustRightInd w:val="0"/>
        <w:ind w:left="720"/>
        <w:textAlignment w:val="baseline"/>
        <w:rPr>
          <w:rFonts w:asciiTheme="minorHAnsi" w:hAnsiTheme="minorHAnsi" w:cstheme="minorHAnsi"/>
          <w:highlight w:val="green"/>
          <w:lang w:val="es-ES_tradnl"/>
        </w:rPr>
      </w:pPr>
    </w:p>
    <w:p w14:paraId="11041CE5" w14:textId="77777777" w:rsidR="009F2B88" w:rsidRPr="00AE612E" w:rsidRDefault="009F2B88" w:rsidP="009F2B88">
      <w:pPr>
        <w:overflowPunct w:val="0"/>
        <w:adjustRightInd w:val="0"/>
        <w:jc w:val="both"/>
        <w:textAlignment w:val="baseline"/>
        <w:rPr>
          <w:rFonts w:asciiTheme="minorHAnsi" w:hAnsiTheme="minorHAnsi" w:cstheme="minorHAnsi"/>
          <w:b/>
          <w:spacing w:val="-3"/>
          <w:highlight w:val="green"/>
        </w:rPr>
      </w:pPr>
      <w:r w:rsidRPr="00AE612E">
        <w:rPr>
          <w:rFonts w:asciiTheme="minorHAnsi" w:hAnsiTheme="minorHAnsi" w:cstheme="minorHAnsi"/>
          <w:highlight w:val="green"/>
          <w:lang w:val="es-ES_tradnl"/>
        </w:rPr>
        <w:t>No se requiere promediar los valores, dado que el costo de la intermediación en todos los casos es igual a CERO PESOS ($0), independientemente de la modalidad por medio de la cual se adelantó el proceso de contratación. Por lo anterior:</w:t>
      </w:r>
    </w:p>
    <w:p w14:paraId="65D532EA" w14:textId="77777777" w:rsidR="009F2B88" w:rsidRPr="00041902" w:rsidRDefault="009F2B88" w:rsidP="009F2B88">
      <w:pPr>
        <w:suppressAutoHyphens/>
        <w:jc w:val="both"/>
        <w:rPr>
          <w:rFonts w:asciiTheme="minorHAnsi" w:hAnsiTheme="minorHAnsi" w:cstheme="minorHAnsi"/>
        </w:rPr>
      </w:pPr>
      <w:r w:rsidRPr="00AE612E">
        <w:rPr>
          <w:rFonts w:asciiTheme="minorHAnsi" w:hAnsiTheme="minorHAnsi" w:cstheme="minorHAnsi"/>
          <w:highlight w:val="green"/>
        </w:rPr>
        <w:t>Teniendo en cuenta el estudio del sector realizado y de conformidad con lo establecido en el artículo 1341 de Código de Comercio, la remuneración del intermediario de seguros será pagada directamente por la compañía aseguradora que emita las pólizas que se contraten durante el periodo de vigencia del contrato con el intermediario. En ese sentido, el contrato que resulte del presente proceso de selección no genera erogación presupuestal alguna para la Corporación Gilberto Echeverri Mejía y cualquier pago que genere la intermediación deberá ser asumido por la compañía de seguros que provea las pólizas.</w:t>
      </w:r>
      <w:r w:rsidRPr="00041902">
        <w:rPr>
          <w:rFonts w:asciiTheme="minorHAnsi" w:hAnsiTheme="minorHAnsi" w:cstheme="minorHAnsi"/>
        </w:rPr>
        <w:t xml:space="preserve"> </w:t>
      </w:r>
    </w:p>
    <w:p w14:paraId="3F0F1DEA" w14:textId="77777777" w:rsidR="009F2B88" w:rsidRPr="00041902" w:rsidRDefault="009F2B88" w:rsidP="009F2B88">
      <w:pPr>
        <w:ind w:right="88"/>
        <w:jc w:val="both"/>
        <w:rPr>
          <w:rFonts w:asciiTheme="minorHAnsi" w:hAnsiTheme="minorHAnsi" w:cstheme="minorHAnsi"/>
          <w:b/>
          <w:spacing w:val="-3"/>
        </w:rPr>
      </w:pPr>
      <w:r w:rsidRPr="00041902">
        <w:rPr>
          <w:rFonts w:asciiTheme="minorHAnsi" w:hAnsiTheme="minorHAnsi" w:cstheme="minorHAnsi"/>
          <w:b/>
          <w:spacing w:val="-3"/>
        </w:rPr>
        <w:t>FUENTES Y TÉCNICAS DE LA INFORMACIÓN:</w:t>
      </w:r>
    </w:p>
    <w:p w14:paraId="41FB6ADB" w14:textId="77777777" w:rsidR="009F2B88" w:rsidRPr="00041902" w:rsidRDefault="009F2B88" w:rsidP="009F2B88">
      <w:pPr>
        <w:ind w:right="88"/>
        <w:jc w:val="both"/>
        <w:rPr>
          <w:rFonts w:asciiTheme="minorHAnsi" w:hAnsiTheme="minorHAnsi" w:cstheme="minorHAnsi"/>
          <w:b/>
          <w:spacing w:val="-3"/>
        </w:rPr>
      </w:pPr>
    </w:p>
    <w:p w14:paraId="653F2D05" w14:textId="77777777" w:rsidR="009F2B88" w:rsidRPr="00AE612E" w:rsidRDefault="009F2B88" w:rsidP="009F2B88">
      <w:pPr>
        <w:ind w:right="88"/>
        <w:jc w:val="both"/>
        <w:rPr>
          <w:rFonts w:asciiTheme="minorHAnsi" w:hAnsiTheme="minorHAnsi" w:cstheme="minorHAnsi"/>
          <w:spacing w:val="-3"/>
          <w:highlight w:val="green"/>
        </w:rPr>
      </w:pPr>
      <w:r w:rsidRPr="00AE612E">
        <w:rPr>
          <w:rFonts w:asciiTheme="minorHAnsi" w:hAnsiTheme="minorHAnsi" w:cstheme="minorHAnsi"/>
          <w:spacing w:val="-3"/>
          <w:highlight w:val="green"/>
        </w:rPr>
        <w:t>Con el fin de acceder a la información necesaria para este proceso de contratación se hizo uso de las tecnologías de la información, de esta manera se consultaron datos leyes, procesos políticos, estadísticas, normas en las siguientes páginas.</w:t>
      </w:r>
    </w:p>
    <w:p w14:paraId="43AF1460" w14:textId="77777777" w:rsidR="009F2B88" w:rsidRPr="00AE612E" w:rsidRDefault="009F2B88" w:rsidP="009F2B88">
      <w:pPr>
        <w:ind w:right="88"/>
        <w:jc w:val="both"/>
        <w:rPr>
          <w:rFonts w:asciiTheme="minorHAnsi" w:hAnsiTheme="minorHAnsi" w:cstheme="minorHAnsi"/>
          <w:spacing w:val="-3"/>
          <w:highlight w:val="green"/>
        </w:rPr>
      </w:pPr>
      <w:hyperlink r:id="rId28" w:history="1">
        <w:r w:rsidRPr="00AE612E">
          <w:rPr>
            <w:rStyle w:val="Hipervnculo"/>
            <w:rFonts w:asciiTheme="minorHAnsi" w:hAnsiTheme="minorHAnsi" w:cstheme="minorHAnsi"/>
            <w:spacing w:val="-3"/>
            <w:highlight w:val="green"/>
          </w:rPr>
          <w:t>https://www.rues.org.co/</w:t>
        </w:r>
      </w:hyperlink>
    </w:p>
    <w:p w14:paraId="2EAD6E82" w14:textId="77777777" w:rsidR="009F2B88" w:rsidRPr="00AE612E" w:rsidRDefault="009F2B88" w:rsidP="009F2B88">
      <w:pPr>
        <w:ind w:right="88"/>
        <w:jc w:val="both"/>
        <w:rPr>
          <w:rFonts w:asciiTheme="minorHAnsi" w:hAnsiTheme="minorHAnsi" w:cstheme="minorHAnsi"/>
          <w:spacing w:val="-3"/>
          <w:highlight w:val="green"/>
        </w:rPr>
      </w:pPr>
      <w:hyperlink r:id="rId29" w:history="1">
        <w:r w:rsidRPr="00AE612E">
          <w:rPr>
            <w:rStyle w:val="Hipervnculo"/>
            <w:rFonts w:asciiTheme="minorHAnsi" w:hAnsiTheme="minorHAnsi" w:cstheme="minorHAnsi"/>
            <w:spacing w:val="-3"/>
            <w:highlight w:val="green"/>
          </w:rPr>
          <w:t>https://fasecolda.com/</w:t>
        </w:r>
      </w:hyperlink>
      <w:r w:rsidRPr="00AE612E">
        <w:rPr>
          <w:rFonts w:asciiTheme="minorHAnsi" w:hAnsiTheme="minorHAnsi" w:cstheme="minorHAnsi"/>
          <w:spacing w:val="-3"/>
          <w:highlight w:val="green"/>
        </w:rPr>
        <w:t xml:space="preserve"> </w:t>
      </w:r>
    </w:p>
    <w:p w14:paraId="4E753D94" w14:textId="77777777" w:rsidR="009F2B88" w:rsidRPr="00AE612E" w:rsidRDefault="009F2B88" w:rsidP="009F2B88">
      <w:pPr>
        <w:ind w:right="88"/>
        <w:jc w:val="both"/>
        <w:rPr>
          <w:rFonts w:asciiTheme="minorHAnsi" w:hAnsiTheme="minorHAnsi" w:cstheme="minorHAnsi"/>
          <w:spacing w:val="-3"/>
          <w:highlight w:val="green"/>
        </w:rPr>
      </w:pPr>
      <w:hyperlink r:id="rId30" w:history="1">
        <w:r w:rsidRPr="00AE612E">
          <w:rPr>
            <w:rStyle w:val="Hipervnculo"/>
            <w:rFonts w:asciiTheme="minorHAnsi" w:hAnsiTheme="minorHAnsi" w:cstheme="minorHAnsi"/>
            <w:spacing w:val="-3"/>
            <w:highlight w:val="green"/>
          </w:rPr>
          <w:t>https://www.previsora.gov.co/</w:t>
        </w:r>
      </w:hyperlink>
      <w:r w:rsidRPr="00AE612E">
        <w:rPr>
          <w:rFonts w:asciiTheme="minorHAnsi" w:hAnsiTheme="minorHAnsi" w:cstheme="minorHAnsi"/>
          <w:spacing w:val="-3"/>
          <w:highlight w:val="green"/>
        </w:rPr>
        <w:t xml:space="preserve"> </w:t>
      </w:r>
    </w:p>
    <w:p w14:paraId="02C83421" w14:textId="77777777" w:rsidR="009F2B88" w:rsidRPr="00AE612E" w:rsidRDefault="009F2B88" w:rsidP="009F2B88">
      <w:pPr>
        <w:ind w:right="88"/>
        <w:jc w:val="both"/>
        <w:rPr>
          <w:rFonts w:asciiTheme="minorHAnsi" w:hAnsiTheme="minorHAnsi" w:cstheme="minorHAnsi"/>
          <w:spacing w:val="-3"/>
          <w:highlight w:val="green"/>
        </w:rPr>
      </w:pPr>
      <w:hyperlink r:id="rId31" w:history="1">
        <w:r w:rsidRPr="00AE612E">
          <w:rPr>
            <w:rStyle w:val="Hipervnculo"/>
            <w:rFonts w:asciiTheme="minorHAnsi" w:hAnsiTheme="minorHAnsi" w:cstheme="minorHAnsi"/>
            <w:spacing w:val="-3"/>
            <w:highlight w:val="green"/>
          </w:rPr>
          <w:t>https://colombiacompra.gov.co/</w:t>
        </w:r>
      </w:hyperlink>
    </w:p>
    <w:p w14:paraId="558495E7" w14:textId="77777777" w:rsidR="009F2B88" w:rsidRPr="00AE612E" w:rsidRDefault="009F2B88" w:rsidP="009F2B88">
      <w:pPr>
        <w:ind w:right="88"/>
        <w:jc w:val="both"/>
        <w:rPr>
          <w:rFonts w:asciiTheme="minorHAnsi" w:hAnsiTheme="minorHAnsi" w:cstheme="minorHAnsi"/>
          <w:spacing w:val="-3"/>
          <w:highlight w:val="green"/>
        </w:rPr>
      </w:pPr>
      <w:hyperlink r:id="rId32" w:history="1">
        <w:r w:rsidRPr="00AE612E">
          <w:rPr>
            <w:rStyle w:val="Hipervnculo"/>
            <w:rFonts w:asciiTheme="minorHAnsi" w:hAnsiTheme="minorHAnsi" w:cstheme="minorHAnsi"/>
            <w:spacing w:val="-3"/>
            <w:highlight w:val="green"/>
          </w:rPr>
          <w:t>https://www.superfinanciera.gov.co/jsp/index.jsf</w:t>
        </w:r>
      </w:hyperlink>
    </w:p>
    <w:p w14:paraId="5A77966F" w14:textId="77777777" w:rsidR="009F2B88" w:rsidRPr="00AE612E" w:rsidRDefault="009F2B88" w:rsidP="009F2B88">
      <w:pPr>
        <w:ind w:right="88"/>
        <w:jc w:val="both"/>
        <w:rPr>
          <w:rFonts w:asciiTheme="minorHAnsi" w:hAnsiTheme="minorHAnsi" w:cstheme="minorHAnsi"/>
          <w:spacing w:val="-3"/>
          <w:highlight w:val="green"/>
        </w:rPr>
      </w:pPr>
      <w:hyperlink r:id="rId33" w:history="1">
        <w:r w:rsidRPr="00AE612E">
          <w:rPr>
            <w:rStyle w:val="Hipervnculo"/>
            <w:rFonts w:asciiTheme="minorHAnsi" w:hAnsiTheme="minorHAnsi" w:cstheme="minorHAnsi"/>
            <w:spacing w:val="-3"/>
            <w:highlight w:val="green"/>
          </w:rPr>
          <w:t>https://www.supersociedades.gov.co/delegatura_aec/estudios_financieros/sirem/forms/allitems.aspx</w:t>
        </w:r>
      </w:hyperlink>
    </w:p>
    <w:p w14:paraId="38D31729" w14:textId="77777777" w:rsidR="009F2B88" w:rsidRPr="00AE612E" w:rsidRDefault="009F2B88" w:rsidP="009F2B88">
      <w:pPr>
        <w:ind w:right="88"/>
        <w:jc w:val="both"/>
        <w:rPr>
          <w:rFonts w:asciiTheme="minorHAnsi" w:hAnsiTheme="minorHAnsi" w:cstheme="minorHAnsi"/>
          <w:spacing w:val="-3"/>
          <w:highlight w:val="green"/>
        </w:rPr>
      </w:pPr>
      <w:hyperlink r:id="rId34" w:history="1">
        <w:r w:rsidRPr="00AE612E">
          <w:rPr>
            <w:rStyle w:val="Hipervnculo"/>
            <w:rFonts w:asciiTheme="minorHAnsi" w:hAnsiTheme="minorHAnsi" w:cstheme="minorHAnsi"/>
            <w:spacing w:val="-3"/>
            <w:highlight w:val="green"/>
          </w:rPr>
          <w:t>http://leyes.senado.gov.co</w:t>
        </w:r>
      </w:hyperlink>
    </w:p>
    <w:p w14:paraId="152C5CE2" w14:textId="77777777" w:rsidR="009F2B88" w:rsidRPr="00AE612E" w:rsidRDefault="009F2B88" w:rsidP="009F2B88">
      <w:pPr>
        <w:ind w:right="88"/>
        <w:jc w:val="both"/>
        <w:rPr>
          <w:rStyle w:val="Hipervnculo"/>
          <w:rFonts w:asciiTheme="minorHAnsi" w:hAnsiTheme="minorHAnsi" w:cstheme="minorHAnsi"/>
          <w:spacing w:val="-3"/>
          <w:highlight w:val="green"/>
        </w:rPr>
      </w:pPr>
      <w:hyperlink r:id="rId35" w:history="1">
        <w:r w:rsidRPr="00AE612E">
          <w:rPr>
            <w:rStyle w:val="Hipervnculo"/>
            <w:rFonts w:asciiTheme="minorHAnsi" w:hAnsiTheme="minorHAnsi" w:cstheme="minorHAnsi"/>
            <w:spacing w:val="-3"/>
            <w:highlight w:val="green"/>
          </w:rPr>
          <w:t>https://www.dane.gov.co/files/investigaciones/boletines/pib/bol_PIB_IItrim22_producion_y_gasto</w:t>
        </w:r>
      </w:hyperlink>
    </w:p>
    <w:p w14:paraId="61F40D89" w14:textId="46CD0CDB" w:rsidR="009F2B88" w:rsidRDefault="00AE612E" w:rsidP="009F2B88">
      <w:pPr>
        <w:ind w:right="88"/>
        <w:jc w:val="both"/>
        <w:rPr>
          <w:rStyle w:val="Hipervnculo"/>
          <w:rFonts w:asciiTheme="minorHAnsi" w:hAnsiTheme="minorHAnsi" w:cstheme="minorHAnsi"/>
          <w:spacing w:val="-3"/>
        </w:rPr>
      </w:pPr>
      <w:hyperlink r:id="rId36" w:history="1">
        <w:r w:rsidRPr="00AE612E">
          <w:rPr>
            <w:rStyle w:val="Hipervnculo"/>
            <w:rFonts w:asciiTheme="minorHAnsi" w:hAnsiTheme="minorHAnsi" w:cstheme="minorHAnsi"/>
            <w:spacing w:val="-3"/>
            <w:highlight w:val="green"/>
          </w:rPr>
          <w:t>https://fasecolda.com/fasecolda/estadisticas-del-sector/visualizador-inteligente-de-cifras</w:t>
        </w:r>
      </w:hyperlink>
    </w:p>
    <w:p w14:paraId="1F53D1B8" w14:textId="77777777" w:rsidR="00AE612E" w:rsidRPr="00041902" w:rsidRDefault="00AE612E" w:rsidP="009F2B88">
      <w:pPr>
        <w:ind w:right="88"/>
        <w:jc w:val="both"/>
        <w:rPr>
          <w:rStyle w:val="Hipervnculo"/>
          <w:rFonts w:asciiTheme="minorHAnsi" w:hAnsiTheme="minorHAnsi" w:cstheme="minorHAnsi"/>
          <w:spacing w:val="-3"/>
        </w:rPr>
      </w:pPr>
    </w:p>
    <w:p w14:paraId="6AB82CE4" w14:textId="77777777" w:rsidR="009F2B88" w:rsidRPr="00041902" w:rsidRDefault="009F2B88" w:rsidP="009F2B88">
      <w:pPr>
        <w:pStyle w:val="Prrafodelista"/>
        <w:widowControl/>
        <w:numPr>
          <w:ilvl w:val="0"/>
          <w:numId w:val="12"/>
        </w:numPr>
        <w:autoSpaceDE/>
        <w:autoSpaceDN/>
        <w:ind w:right="88"/>
        <w:contextualSpacing/>
        <w:jc w:val="both"/>
        <w:rPr>
          <w:rFonts w:asciiTheme="minorHAnsi" w:hAnsiTheme="minorHAnsi" w:cstheme="minorHAnsi"/>
          <w:b/>
        </w:rPr>
      </w:pPr>
      <w:r w:rsidRPr="00041902">
        <w:rPr>
          <w:rFonts w:asciiTheme="minorHAnsi" w:hAnsiTheme="minorHAnsi" w:cstheme="minorHAnsi"/>
          <w:b/>
        </w:rPr>
        <w:t>CONCLUSIONES DEL ESTUDIO DE SECTOR:</w:t>
      </w:r>
    </w:p>
    <w:p w14:paraId="369F04CA" w14:textId="77777777" w:rsidR="009F2B88" w:rsidRPr="00041902" w:rsidRDefault="009F2B88" w:rsidP="009F2B88">
      <w:pPr>
        <w:ind w:right="88"/>
        <w:jc w:val="both"/>
        <w:rPr>
          <w:rFonts w:asciiTheme="minorHAnsi" w:hAnsiTheme="minorHAnsi" w:cstheme="minorHAnsi"/>
          <w:b/>
        </w:rPr>
      </w:pPr>
    </w:p>
    <w:p w14:paraId="0D878AAF" w14:textId="77777777" w:rsidR="009F2B88" w:rsidRPr="00247701" w:rsidRDefault="009F2B88" w:rsidP="009F2B88">
      <w:pPr>
        <w:pStyle w:val="Default"/>
        <w:jc w:val="both"/>
        <w:rPr>
          <w:rFonts w:asciiTheme="minorHAnsi" w:hAnsiTheme="minorHAnsi" w:cstheme="minorHAnsi"/>
          <w:sz w:val="22"/>
          <w:szCs w:val="22"/>
          <w:highlight w:val="green"/>
          <w:lang w:val="es-CO"/>
        </w:rPr>
      </w:pPr>
      <w:r w:rsidRPr="00247701">
        <w:rPr>
          <w:rFonts w:asciiTheme="minorHAnsi" w:hAnsiTheme="minorHAnsi" w:cstheme="minorHAnsi"/>
          <w:sz w:val="22"/>
          <w:szCs w:val="22"/>
          <w:highlight w:val="green"/>
          <w:lang w:val="es-CO"/>
        </w:rPr>
        <w:t xml:space="preserve">Una vez efectuado el análisis de la contratación realizada por otras Entidades del Estado se concluye que un número significativo de Entidades han adelantado procesos de selección relacionados, encontrando que una de las modalidades </w:t>
      </w:r>
      <w:r w:rsidRPr="00247701">
        <w:rPr>
          <w:rFonts w:asciiTheme="minorHAnsi" w:hAnsiTheme="minorHAnsi" w:cstheme="minorHAnsi"/>
          <w:sz w:val="22"/>
          <w:szCs w:val="22"/>
          <w:highlight w:val="green"/>
          <w:lang w:val="es-CO"/>
        </w:rPr>
        <w:lastRenderedPageBreak/>
        <w:t xml:space="preserve">de selección más frecuente es la de concurso de méritos y que un alto porcentaje acorde a las características propias de cada Entidad, ha contratado a corredores de seguros, toda vez que las actividades requeridas, no solo se asocian a la intermediación sino a temas de asesoría y consultoría que requieren de conocimientos altamente especializados. </w:t>
      </w:r>
    </w:p>
    <w:p w14:paraId="23E01220" w14:textId="77777777" w:rsidR="009F2B88" w:rsidRPr="00247701" w:rsidRDefault="009F2B88" w:rsidP="009F2B88">
      <w:pPr>
        <w:pStyle w:val="Default"/>
        <w:rPr>
          <w:rFonts w:asciiTheme="minorHAnsi" w:hAnsiTheme="minorHAnsi" w:cstheme="minorHAnsi"/>
          <w:sz w:val="22"/>
          <w:szCs w:val="22"/>
          <w:highlight w:val="green"/>
          <w:lang w:val="es-CO"/>
        </w:rPr>
      </w:pPr>
    </w:p>
    <w:p w14:paraId="66241217" w14:textId="77777777" w:rsidR="009F2B88" w:rsidRDefault="009F2B88" w:rsidP="009F2B88">
      <w:pPr>
        <w:ind w:right="88"/>
        <w:jc w:val="both"/>
        <w:rPr>
          <w:rFonts w:asciiTheme="minorHAnsi" w:hAnsiTheme="minorHAnsi" w:cstheme="minorHAnsi"/>
        </w:rPr>
      </w:pPr>
      <w:r w:rsidRPr="00247701">
        <w:rPr>
          <w:rFonts w:asciiTheme="minorHAnsi" w:hAnsiTheme="minorHAnsi" w:cstheme="minorHAnsi"/>
          <w:highlight w:val="green"/>
        </w:rPr>
        <w:t>Si los servicios de intermediación son prestados por un corredor, se garantiza que se trata de firmas con total independencia de las compañías aseguradoras, además tienen una solidez financiera y administrativa acorde con las exigencias de la Superintendencia Financiera, lo que para la Entidad resulta más conveniente, toda vez que se trata de firmas vigiladas, lo que minimiza los riesgos de incumplimientos durante la ejecución contractual.</w:t>
      </w:r>
    </w:p>
    <w:p w14:paraId="60721A59" w14:textId="77777777" w:rsidR="009F2B88" w:rsidRDefault="009F2B88" w:rsidP="009F2B88">
      <w:pPr>
        <w:ind w:right="88"/>
        <w:jc w:val="both"/>
        <w:rPr>
          <w:rFonts w:asciiTheme="minorHAnsi" w:hAnsiTheme="minorHAnsi" w:cstheme="minorHAnsi"/>
        </w:rPr>
      </w:pPr>
    </w:p>
    <w:p w14:paraId="089D2FCF" w14:textId="77777777" w:rsidR="00406A48" w:rsidRPr="00041902" w:rsidRDefault="00406A48" w:rsidP="009F2B88">
      <w:pPr>
        <w:ind w:right="88"/>
        <w:jc w:val="both"/>
        <w:rPr>
          <w:rFonts w:asciiTheme="minorHAnsi" w:hAnsiTheme="minorHAnsi" w:cstheme="minorHAnsi"/>
        </w:rPr>
      </w:pPr>
    </w:p>
    <w:p w14:paraId="10D6EC9A" w14:textId="342085E2" w:rsidR="009F2B88" w:rsidRPr="00041902" w:rsidRDefault="009F2B88" w:rsidP="009F2B88">
      <w:pPr>
        <w:jc w:val="both"/>
        <w:rPr>
          <w:rFonts w:asciiTheme="minorHAnsi" w:hAnsiTheme="minorHAnsi" w:cstheme="minorHAnsi"/>
          <w:bCs/>
        </w:rPr>
      </w:pPr>
    </w:p>
    <w:p w14:paraId="203F872B" w14:textId="3AA7F10A" w:rsidR="009F2B88" w:rsidRPr="00041902" w:rsidRDefault="009F2B88" w:rsidP="009F2B88">
      <w:pPr>
        <w:jc w:val="both"/>
        <w:rPr>
          <w:rFonts w:asciiTheme="minorHAnsi" w:hAnsiTheme="minorHAnsi" w:cstheme="minorHAnsi"/>
          <w:bCs/>
        </w:rPr>
      </w:pPr>
    </w:p>
    <w:p w14:paraId="40315171" w14:textId="1C06EB3A" w:rsidR="009F2B88" w:rsidRPr="00041902" w:rsidRDefault="00C64327" w:rsidP="009F2B88">
      <w:pPr>
        <w:jc w:val="both"/>
        <w:rPr>
          <w:rFonts w:asciiTheme="minorHAnsi" w:hAnsiTheme="minorHAnsi" w:cstheme="minorHAnsi"/>
          <w:bCs/>
        </w:rPr>
      </w:pPr>
      <w:r>
        <w:rPr>
          <w:rFonts w:asciiTheme="minorHAnsi" w:hAnsiTheme="minorHAnsi" w:cstheme="minorHAnsi"/>
          <w:bCs/>
        </w:rPr>
        <w:t>________________________</w:t>
      </w:r>
    </w:p>
    <w:p w14:paraId="3F0E2734" w14:textId="6A385DFC" w:rsidR="009F2B88" w:rsidRPr="00041902" w:rsidRDefault="00AE612E" w:rsidP="009F2B88">
      <w:pPr>
        <w:jc w:val="both"/>
        <w:rPr>
          <w:rFonts w:asciiTheme="minorHAnsi" w:hAnsiTheme="minorHAnsi" w:cstheme="minorHAnsi"/>
          <w:bCs/>
        </w:rPr>
      </w:pPr>
      <w:r>
        <w:rPr>
          <w:rFonts w:asciiTheme="minorHAnsi" w:hAnsiTheme="minorHAnsi" w:cstheme="minorHAnsi"/>
          <w:bCs/>
        </w:rPr>
        <w:t>FIRMA</w:t>
      </w:r>
    </w:p>
    <w:p w14:paraId="10F91E53" w14:textId="7CF4A297" w:rsidR="009F2B88" w:rsidRDefault="00AE612E" w:rsidP="009F2B88">
      <w:pPr>
        <w:jc w:val="both"/>
        <w:rPr>
          <w:rFonts w:asciiTheme="minorHAnsi" w:hAnsiTheme="minorHAnsi" w:cstheme="minorHAnsi"/>
          <w:bCs/>
        </w:rPr>
      </w:pPr>
      <w:r>
        <w:rPr>
          <w:rFonts w:asciiTheme="minorHAnsi" w:hAnsiTheme="minorHAnsi" w:cstheme="minorHAnsi"/>
          <w:bCs/>
        </w:rPr>
        <w:t xml:space="preserve">Profesional </w:t>
      </w:r>
      <w:r w:rsidR="00C64327">
        <w:rPr>
          <w:rFonts w:asciiTheme="minorHAnsi" w:hAnsiTheme="minorHAnsi" w:cstheme="minorHAnsi"/>
          <w:bCs/>
        </w:rPr>
        <w:t xml:space="preserve">especializada jurídico </w:t>
      </w:r>
    </w:p>
    <w:p w14:paraId="21E7162F" w14:textId="77777777" w:rsidR="00564CA4" w:rsidRDefault="00564CA4" w:rsidP="009F2B88">
      <w:pPr>
        <w:jc w:val="both"/>
        <w:rPr>
          <w:rFonts w:asciiTheme="minorHAnsi" w:hAnsiTheme="minorHAnsi" w:cstheme="minorHAnsi"/>
          <w:bCs/>
        </w:rPr>
      </w:pPr>
    </w:p>
    <w:p w14:paraId="400D0150" w14:textId="77777777" w:rsidR="009F2B88" w:rsidRPr="006F47EB" w:rsidRDefault="009F2B88" w:rsidP="009F2B88">
      <w:pPr>
        <w:rPr>
          <w:rFonts w:asciiTheme="minorHAnsi" w:hAnsiTheme="minorHAnsi" w:cstheme="minorHAnsi"/>
          <w:sz w:val="18"/>
          <w:szCs w:val="18"/>
        </w:rPr>
      </w:pPr>
    </w:p>
    <w:p w14:paraId="7AB9931F" w14:textId="77777777" w:rsidR="009F2B88" w:rsidRPr="00404439" w:rsidRDefault="009F2B88">
      <w:pPr>
        <w:pStyle w:val="Textoindependiente"/>
        <w:rPr>
          <w:rFonts w:asciiTheme="minorHAnsi" w:hAnsiTheme="minorHAnsi" w:cstheme="minorHAnsi"/>
          <w:b/>
          <w:sz w:val="24"/>
          <w:szCs w:val="24"/>
        </w:rPr>
      </w:pPr>
    </w:p>
    <w:sectPr w:rsidR="009F2B88" w:rsidRPr="00404439">
      <w:headerReference w:type="default" r:id="rId37"/>
      <w:footerReference w:type="default" r:id="rId38"/>
      <w:pgSz w:w="12240" w:h="15840"/>
      <w:pgMar w:top="2420" w:right="780" w:bottom="1400" w:left="780" w:header="713" w:footer="12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E8EF6" w14:textId="77777777" w:rsidR="00674FC2" w:rsidRDefault="00674FC2">
      <w:r>
        <w:separator/>
      </w:r>
    </w:p>
  </w:endnote>
  <w:endnote w:type="continuationSeparator" w:id="0">
    <w:p w14:paraId="72267EA8" w14:textId="77777777" w:rsidR="00674FC2" w:rsidRDefault="00674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Poppins"/>
    <w:charset w:val="00"/>
    <w:family w:val="auto"/>
    <w:pitch w:val="variable"/>
    <w:sig w:usb0="00008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62401" w14:textId="019B3CD5" w:rsidR="0023708C" w:rsidRPr="00CA1DD2" w:rsidRDefault="00CA1DD2" w:rsidP="00CA1DD2">
    <w:pPr>
      <w:pStyle w:val="Piedepgina"/>
    </w:pPr>
    <w:r>
      <w:rPr>
        <w:noProof/>
      </w:rPr>
      <w:drawing>
        <wp:anchor distT="0" distB="0" distL="114300" distR="114300" simplePos="0" relativeHeight="251670528" behindDoc="1" locked="0" layoutInCell="1" allowOverlap="1" wp14:anchorId="3B7965FC" wp14:editId="36C8017E">
          <wp:simplePos x="0" y="0"/>
          <wp:positionH relativeFrom="margin">
            <wp:posOffset>-469421</wp:posOffset>
          </wp:positionH>
          <wp:positionV relativeFrom="paragraph">
            <wp:posOffset>116792</wp:posOffset>
          </wp:positionV>
          <wp:extent cx="7630055" cy="798830"/>
          <wp:effectExtent l="0" t="0" r="9525" b="1270"/>
          <wp:wrapNone/>
          <wp:docPr id="220081925" name="Imagen 22008192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917826" name="Imagen 1518917826" descr="Interfaz de usuario gráfica, Aplicación&#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30055" cy="7988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CDAD6" w14:textId="77777777" w:rsidR="00674FC2" w:rsidRDefault="00674FC2">
      <w:r>
        <w:separator/>
      </w:r>
    </w:p>
  </w:footnote>
  <w:footnote w:type="continuationSeparator" w:id="0">
    <w:p w14:paraId="4B90C8AA" w14:textId="77777777" w:rsidR="00674FC2" w:rsidRDefault="00674F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40522" w14:textId="0E5FD871" w:rsidR="0023708C" w:rsidRDefault="00481812">
    <w:pPr>
      <w:pStyle w:val="Textoindependiente"/>
      <w:spacing w:line="14" w:lineRule="auto"/>
      <w:rPr>
        <w:sz w:val="20"/>
      </w:rPr>
    </w:pPr>
    <w:r>
      <w:rPr>
        <w:noProof/>
      </w:rPr>
      <mc:AlternateContent>
        <mc:Choice Requires="wps">
          <w:drawing>
            <wp:anchor distT="0" distB="0" distL="114300" distR="114300" simplePos="0" relativeHeight="15728640" behindDoc="0" locked="0" layoutInCell="1" allowOverlap="1" wp14:anchorId="6B5463E2" wp14:editId="33DF08C2">
              <wp:simplePos x="0" y="0"/>
              <wp:positionH relativeFrom="page">
                <wp:posOffset>648970</wp:posOffset>
              </wp:positionH>
              <wp:positionV relativeFrom="page">
                <wp:posOffset>449580</wp:posOffset>
              </wp:positionV>
              <wp:extent cx="6563995" cy="1094740"/>
              <wp:effectExtent l="0" t="0" r="0" b="0"/>
              <wp:wrapNone/>
              <wp:docPr id="7734027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3995"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673"/>
                            <w:gridCol w:w="2268"/>
                          </w:tblGrid>
                          <w:tr w:rsidR="0023708C" w14:paraId="41EF622F" w14:textId="77777777">
                            <w:trPr>
                              <w:trHeight w:val="410"/>
                            </w:trPr>
                            <w:tc>
                              <w:tcPr>
                                <w:tcW w:w="2381" w:type="dxa"/>
                                <w:vMerge w:val="restart"/>
                              </w:tcPr>
                              <w:p w14:paraId="518477BB" w14:textId="77777777" w:rsidR="0023708C" w:rsidRDefault="0023708C">
                                <w:pPr>
                                  <w:pStyle w:val="TableParagraph"/>
                                  <w:rPr>
                                    <w:rFonts w:ascii="Times New Roman"/>
                                    <w:sz w:val="18"/>
                                  </w:rPr>
                                </w:pPr>
                              </w:p>
                            </w:tc>
                            <w:tc>
                              <w:tcPr>
                                <w:tcW w:w="5673" w:type="dxa"/>
                                <w:vMerge w:val="restart"/>
                                <w:tcBorders>
                                  <w:right w:val="single" w:sz="6" w:space="0" w:color="000000"/>
                                </w:tcBorders>
                              </w:tcPr>
                              <w:p w14:paraId="61F2136E" w14:textId="77777777" w:rsidR="0023708C" w:rsidRDefault="0023708C">
                                <w:pPr>
                                  <w:pStyle w:val="TableParagraph"/>
                                  <w:rPr>
                                    <w:rFonts w:ascii="Times New Roman"/>
                                    <w:sz w:val="24"/>
                                  </w:rPr>
                                </w:pPr>
                              </w:p>
                              <w:p w14:paraId="1EE03C47" w14:textId="77777777" w:rsidR="0023708C" w:rsidRDefault="0023708C">
                                <w:pPr>
                                  <w:pStyle w:val="TableParagraph"/>
                                  <w:spacing w:before="4"/>
                                  <w:rPr>
                                    <w:rFonts w:ascii="Times New Roman"/>
                                    <w:sz w:val="28"/>
                                  </w:rPr>
                                </w:pPr>
                              </w:p>
                              <w:p w14:paraId="1B75370D" w14:textId="77777777" w:rsidR="0023708C" w:rsidRPr="00404439" w:rsidRDefault="00027B20">
                                <w:pPr>
                                  <w:pStyle w:val="TableParagraph"/>
                                  <w:ind w:left="1587"/>
                                  <w:rPr>
                                    <w:rFonts w:asciiTheme="minorHAnsi" w:hAnsiTheme="minorHAnsi" w:cstheme="minorHAnsi"/>
                                    <w:b/>
                                  </w:rPr>
                                </w:pPr>
                                <w:r w:rsidRPr="00404439">
                                  <w:rPr>
                                    <w:rFonts w:asciiTheme="minorHAnsi" w:hAnsiTheme="minorHAnsi" w:cstheme="minorHAnsi"/>
                                    <w:b/>
                                  </w:rPr>
                                  <w:t>ANÁLISIS</w:t>
                                </w:r>
                                <w:r w:rsidRPr="00404439">
                                  <w:rPr>
                                    <w:rFonts w:asciiTheme="minorHAnsi" w:hAnsiTheme="minorHAnsi" w:cstheme="minorHAnsi"/>
                                    <w:b/>
                                    <w:spacing w:val="-6"/>
                                  </w:rPr>
                                  <w:t xml:space="preserve"> </w:t>
                                </w:r>
                                <w:r w:rsidRPr="00404439">
                                  <w:rPr>
                                    <w:rFonts w:asciiTheme="minorHAnsi" w:hAnsiTheme="minorHAnsi" w:cstheme="minorHAnsi"/>
                                    <w:b/>
                                  </w:rPr>
                                  <w:t>DEL</w:t>
                                </w:r>
                                <w:r w:rsidRPr="00404439">
                                  <w:rPr>
                                    <w:rFonts w:asciiTheme="minorHAnsi" w:hAnsiTheme="minorHAnsi" w:cstheme="minorHAnsi"/>
                                    <w:b/>
                                    <w:spacing w:val="-4"/>
                                  </w:rPr>
                                  <w:t xml:space="preserve"> </w:t>
                                </w:r>
                                <w:r w:rsidRPr="00404439">
                                  <w:rPr>
                                    <w:rFonts w:asciiTheme="minorHAnsi" w:hAnsiTheme="minorHAnsi" w:cstheme="minorHAnsi"/>
                                    <w:b/>
                                  </w:rPr>
                                  <w:t>SECTOR</w:t>
                                </w:r>
                              </w:p>
                            </w:tc>
                            <w:tc>
                              <w:tcPr>
                                <w:tcW w:w="2268" w:type="dxa"/>
                                <w:tcBorders>
                                  <w:left w:val="single" w:sz="6" w:space="0" w:color="000000"/>
                                </w:tcBorders>
                              </w:tcPr>
                              <w:p w14:paraId="7ACDBD98" w14:textId="77777777" w:rsidR="0023708C" w:rsidRPr="00404439" w:rsidRDefault="00027B20">
                                <w:pPr>
                                  <w:pStyle w:val="TableParagraph"/>
                                  <w:spacing w:before="109"/>
                                  <w:ind w:left="110"/>
                                  <w:rPr>
                                    <w:rFonts w:asciiTheme="minorHAnsi" w:hAnsiTheme="minorHAnsi" w:cstheme="minorHAnsi"/>
                                    <w:sz w:val="20"/>
                                    <w:szCs w:val="20"/>
                                  </w:rPr>
                                </w:pPr>
                                <w:r w:rsidRPr="00404439">
                                  <w:rPr>
                                    <w:rFonts w:asciiTheme="minorHAnsi" w:hAnsiTheme="minorHAnsi" w:cstheme="minorHAnsi"/>
                                    <w:sz w:val="20"/>
                                    <w:szCs w:val="20"/>
                                  </w:rPr>
                                  <w:t>Código:</w:t>
                                </w:r>
                                <w:r w:rsidRPr="00404439">
                                  <w:rPr>
                                    <w:rFonts w:asciiTheme="minorHAnsi" w:hAnsiTheme="minorHAnsi" w:cstheme="minorHAnsi"/>
                                    <w:spacing w:val="-1"/>
                                    <w:sz w:val="20"/>
                                    <w:szCs w:val="20"/>
                                  </w:rPr>
                                  <w:t xml:space="preserve"> </w:t>
                                </w:r>
                                <w:r w:rsidRPr="00404439">
                                  <w:rPr>
                                    <w:rFonts w:asciiTheme="minorHAnsi" w:hAnsiTheme="minorHAnsi" w:cstheme="minorHAnsi"/>
                                    <w:sz w:val="20"/>
                                    <w:szCs w:val="20"/>
                                  </w:rPr>
                                  <w:t>GJU-FR-54</w:t>
                                </w:r>
                              </w:p>
                            </w:tc>
                          </w:tr>
                          <w:tr w:rsidR="0023708C" w14:paraId="467702F7" w14:textId="77777777">
                            <w:trPr>
                              <w:trHeight w:val="417"/>
                            </w:trPr>
                            <w:tc>
                              <w:tcPr>
                                <w:tcW w:w="2381" w:type="dxa"/>
                                <w:vMerge/>
                                <w:tcBorders>
                                  <w:top w:val="nil"/>
                                </w:tcBorders>
                              </w:tcPr>
                              <w:p w14:paraId="1796898E" w14:textId="77777777" w:rsidR="0023708C" w:rsidRDefault="0023708C">
                                <w:pPr>
                                  <w:rPr>
                                    <w:sz w:val="2"/>
                                    <w:szCs w:val="2"/>
                                  </w:rPr>
                                </w:pPr>
                              </w:p>
                            </w:tc>
                            <w:tc>
                              <w:tcPr>
                                <w:tcW w:w="5673" w:type="dxa"/>
                                <w:vMerge/>
                                <w:tcBorders>
                                  <w:top w:val="nil"/>
                                  <w:right w:val="single" w:sz="6" w:space="0" w:color="000000"/>
                                </w:tcBorders>
                              </w:tcPr>
                              <w:p w14:paraId="0527D652" w14:textId="77777777" w:rsidR="0023708C" w:rsidRDefault="0023708C">
                                <w:pPr>
                                  <w:rPr>
                                    <w:sz w:val="2"/>
                                    <w:szCs w:val="2"/>
                                  </w:rPr>
                                </w:pPr>
                              </w:p>
                            </w:tc>
                            <w:tc>
                              <w:tcPr>
                                <w:tcW w:w="2268" w:type="dxa"/>
                                <w:tcBorders>
                                  <w:left w:val="single" w:sz="6" w:space="0" w:color="000000"/>
                                </w:tcBorders>
                              </w:tcPr>
                              <w:p w14:paraId="6455B113" w14:textId="77777777" w:rsidR="0023708C" w:rsidRPr="00404439" w:rsidRDefault="00027B20">
                                <w:pPr>
                                  <w:pStyle w:val="TableParagraph"/>
                                  <w:spacing w:before="113"/>
                                  <w:ind w:left="110"/>
                                  <w:rPr>
                                    <w:rFonts w:asciiTheme="minorHAnsi" w:hAnsiTheme="minorHAnsi" w:cstheme="minorHAnsi"/>
                                    <w:sz w:val="20"/>
                                    <w:szCs w:val="20"/>
                                  </w:rPr>
                                </w:pPr>
                                <w:r w:rsidRPr="00404439">
                                  <w:rPr>
                                    <w:rFonts w:asciiTheme="minorHAnsi" w:hAnsiTheme="minorHAnsi" w:cstheme="minorHAnsi"/>
                                    <w:sz w:val="20"/>
                                    <w:szCs w:val="20"/>
                                  </w:rPr>
                                  <w:t>Versión:</w:t>
                                </w:r>
                                <w:r w:rsidRPr="00404439">
                                  <w:rPr>
                                    <w:rFonts w:asciiTheme="minorHAnsi" w:hAnsiTheme="minorHAnsi" w:cstheme="minorHAnsi"/>
                                    <w:spacing w:val="-4"/>
                                    <w:sz w:val="20"/>
                                    <w:szCs w:val="20"/>
                                  </w:rPr>
                                  <w:t xml:space="preserve"> </w:t>
                                </w:r>
                                <w:r w:rsidRPr="00404439">
                                  <w:rPr>
                                    <w:rFonts w:asciiTheme="minorHAnsi" w:hAnsiTheme="minorHAnsi" w:cstheme="minorHAnsi"/>
                                    <w:sz w:val="20"/>
                                    <w:szCs w:val="20"/>
                                  </w:rPr>
                                  <w:t>01</w:t>
                                </w:r>
                              </w:p>
                            </w:tc>
                          </w:tr>
                          <w:tr w:rsidR="0023708C" w14:paraId="37A77D08" w14:textId="77777777">
                            <w:trPr>
                              <w:trHeight w:val="856"/>
                            </w:trPr>
                            <w:tc>
                              <w:tcPr>
                                <w:tcW w:w="2381" w:type="dxa"/>
                                <w:vMerge/>
                                <w:tcBorders>
                                  <w:top w:val="nil"/>
                                </w:tcBorders>
                              </w:tcPr>
                              <w:p w14:paraId="5EB98822" w14:textId="77777777" w:rsidR="0023708C" w:rsidRDefault="0023708C">
                                <w:pPr>
                                  <w:rPr>
                                    <w:sz w:val="2"/>
                                    <w:szCs w:val="2"/>
                                  </w:rPr>
                                </w:pPr>
                              </w:p>
                            </w:tc>
                            <w:tc>
                              <w:tcPr>
                                <w:tcW w:w="5673" w:type="dxa"/>
                                <w:vMerge/>
                                <w:tcBorders>
                                  <w:top w:val="nil"/>
                                  <w:right w:val="single" w:sz="6" w:space="0" w:color="000000"/>
                                </w:tcBorders>
                              </w:tcPr>
                              <w:p w14:paraId="0EA8685B" w14:textId="77777777" w:rsidR="0023708C" w:rsidRDefault="0023708C">
                                <w:pPr>
                                  <w:rPr>
                                    <w:sz w:val="2"/>
                                    <w:szCs w:val="2"/>
                                  </w:rPr>
                                </w:pPr>
                              </w:p>
                            </w:tc>
                            <w:tc>
                              <w:tcPr>
                                <w:tcW w:w="2268" w:type="dxa"/>
                                <w:tcBorders>
                                  <w:left w:val="single" w:sz="6" w:space="0" w:color="000000"/>
                                </w:tcBorders>
                              </w:tcPr>
                              <w:p w14:paraId="6DB82307" w14:textId="77777777" w:rsidR="0023708C" w:rsidRPr="00404439" w:rsidRDefault="0023708C">
                                <w:pPr>
                                  <w:pStyle w:val="TableParagraph"/>
                                  <w:rPr>
                                    <w:rFonts w:asciiTheme="minorHAnsi" w:hAnsiTheme="minorHAnsi" w:cstheme="minorHAnsi"/>
                                    <w:sz w:val="20"/>
                                    <w:szCs w:val="20"/>
                                  </w:rPr>
                                </w:pPr>
                              </w:p>
                              <w:p w14:paraId="4C24B7AE" w14:textId="738C3C84" w:rsidR="0023708C" w:rsidRPr="00404439" w:rsidRDefault="00027B20">
                                <w:pPr>
                                  <w:pStyle w:val="TableParagraph"/>
                                  <w:spacing w:before="125"/>
                                  <w:ind w:left="110"/>
                                  <w:rPr>
                                    <w:rFonts w:asciiTheme="minorHAnsi" w:hAnsiTheme="minorHAnsi" w:cstheme="minorHAnsi"/>
                                    <w:sz w:val="20"/>
                                    <w:szCs w:val="20"/>
                                  </w:rPr>
                                </w:pPr>
                                <w:r w:rsidRPr="00404439">
                                  <w:rPr>
                                    <w:rFonts w:asciiTheme="minorHAnsi" w:hAnsiTheme="minorHAnsi" w:cstheme="minorHAnsi"/>
                                    <w:sz w:val="20"/>
                                    <w:szCs w:val="20"/>
                                  </w:rPr>
                                  <w:t>Página:</w:t>
                                </w:r>
                                <w:r w:rsidRPr="00404439">
                                  <w:rPr>
                                    <w:rFonts w:asciiTheme="minorHAnsi" w:hAnsiTheme="minorHAnsi" w:cstheme="minorHAnsi"/>
                                    <w:spacing w:val="2"/>
                                    <w:sz w:val="20"/>
                                    <w:szCs w:val="20"/>
                                  </w:rPr>
                                  <w:t xml:space="preserve"> </w:t>
                                </w:r>
                                <w:r w:rsidRPr="00404439">
                                  <w:rPr>
                                    <w:rFonts w:asciiTheme="minorHAnsi" w:hAnsiTheme="minorHAnsi" w:cstheme="minorHAnsi"/>
                                    <w:sz w:val="20"/>
                                    <w:szCs w:val="20"/>
                                  </w:rPr>
                                  <w:t>1</w:t>
                                </w:r>
                                <w:r w:rsidRPr="00404439">
                                  <w:rPr>
                                    <w:rFonts w:asciiTheme="minorHAnsi" w:hAnsiTheme="minorHAnsi" w:cstheme="minorHAnsi"/>
                                    <w:spacing w:val="-2"/>
                                    <w:sz w:val="20"/>
                                    <w:szCs w:val="20"/>
                                  </w:rPr>
                                  <w:t xml:space="preserve"> </w:t>
                                </w:r>
                                <w:r w:rsidRPr="00404439">
                                  <w:rPr>
                                    <w:rFonts w:asciiTheme="minorHAnsi" w:hAnsiTheme="minorHAnsi" w:cstheme="minorHAnsi"/>
                                    <w:sz w:val="20"/>
                                    <w:szCs w:val="20"/>
                                  </w:rPr>
                                  <w:t xml:space="preserve">de </w:t>
                                </w:r>
                                <w:r w:rsidR="00483FC7">
                                  <w:rPr>
                                    <w:rFonts w:asciiTheme="minorHAnsi" w:hAnsiTheme="minorHAnsi" w:cstheme="minorHAnsi"/>
                                    <w:sz w:val="20"/>
                                    <w:szCs w:val="20"/>
                                  </w:rPr>
                                  <w:t>2</w:t>
                                </w:r>
                                <w:r w:rsidR="0042403F">
                                  <w:rPr>
                                    <w:rFonts w:asciiTheme="minorHAnsi" w:hAnsiTheme="minorHAnsi" w:cstheme="minorHAnsi"/>
                                    <w:sz w:val="20"/>
                                    <w:szCs w:val="20"/>
                                  </w:rPr>
                                  <w:t>7</w:t>
                                </w:r>
                              </w:p>
                            </w:tc>
                          </w:tr>
                        </w:tbl>
                        <w:p w14:paraId="2F74682F" w14:textId="77777777" w:rsidR="0023708C" w:rsidRDefault="0023708C">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463E2" id="_x0000_t202" coordsize="21600,21600" o:spt="202" path="m,l,21600r21600,l21600,xe">
              <v:stroke joinstyle="miter"/>
              <v:path gradientshapeok="t" o:connecttype="rect"/>
            </v:shapetype>
            <v:shape id="Text Box 1" o:spid="_x0000_s1026" type="#_x0000_t202" style="position:absolute;margin-left:51.1pt;margin-top:35.4pt;width:516.85pt;height:86.2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5673"/>
                      <w:gridCol w:w="2268"/>
                    </w:tblGrid>
                    <w:tr w:rsidR="0023708C" w14:paraId="41EF622F" w14:textId="77777777">
                      <w:trPr>
                        <w:trHeight w:val="410"/>
                      </w:trPr>
                      <w:tc>
                        <w:tcPr>
                          <w:tcW w:w="2381" w:type="dxa"/>
                          <w:vMerge w:val="restart"/>
                        </w:tcPr>
                        <w:p w14:paraId="518477BB" w14:textId="77777777" w:rsidR="0023708C" w:rsidRDefault="0023708C">
                          <w:pPr>
                            <w:pStyle w:val="TableParagraph"/>
                            <w:rPr>
                              <w:rFonts w:ascii="Times New Roman"/>
                              <w:sz w:val="18"/>
                            </w:rPr>
                          </w:pPr>
                        </w:p>
                      </w:tc>
                      <w:tc>
                        <w:tcPr>
                          <w:tcW w:w="5673" w:type="dxa"/>
                          <w:vMerge w:val="restart"/>
                          <w:tcBorders>
                            <w:right w:val="single" w:sz="6" w:space="0" w:color="000000"/>
                          </w:tcBorders>
                        </w:tcPr>
                        <w:p w14:paraId="61F2136E" w14:textId="77777777" w:rsidR="0023708C" w:rsidRDefault="0023708C">
                          <w:pPr>
                            <w:pStyle w:val="TableParagraph"/>
                            <w:rPr>
                              <w:rFonts w:ascii="Times New Roman"/>
                              <w:sz w:val="24"/>
                            </w:rPr>
                          </w:pPr>
                        </w:p>
                        <w:p w14:paraId="1EE03C47" w14:textId="77777777" w:rsidR="0023708C" w:rsidRDefault="0023708C">
                          <w:pPr>
                            <w:pStyle w:val="TableParagraph"/>
                            <w:spacing w:before="4"/>
                            <w:rPr>
                              <w:rFonts w:ascii="Times New Roman"/>
                              <w:sz w:val="28"/>
                            </w:rPr>
                          </w:pPr>
                        </w:p>
                        <w:p w14:paraId="1B75370D" w14:textId="77777777" w:rsidR="0023708C" w:rsidRPr="00404439" w:rsidRDefault="00027B20">
                          <w:pPr>
                            <w:pStyle w:val="TableParagraph"/>
                            <w:ind w:left="1587"/>
                            <w:rPr>
                              <w:rFonts w:asciiTheme="minorHAnsi" w:hAnsiTheme="minorHAnsi" w:cstheme="minorHAnsi"/>
                              <w:b/>
                            </w:rPr>
                          </w:pPr>
                          <w:r w:rsidRPr="00404439">
                            <w:rPr>
                              <w:rFonts w:asciiTheme="minorHAnsi" w:hAnsiTheme="minorHAnsi" w:cstheme="minorHAnsi"/>
                              <w:b/>
                            </w:rPr>
                            <w:t>ANÁLISIS</w:t>
                          </w:r>
                          <w:r w:rsidRPr="00404439">
                            <w:rPr>
                              <w:rFonts w:asciiTheme="minorHAnsi" w:hAnsiTheme="minorHAnsi" w:cstheme="minorHAnsi"/>
                              <w:b/>
                              <w:spacing w:val="-6"/>
                            </w:rPr>
                            <w:t xml:space="preserve"> </w:t>
                          </w:r>
                          <w:r w:rsidRPr="00404439">
                            <w:rPr>
                              <w:rFonts w:asciiTheme="minorHAnsi" w:hAnsiTheme="minorHAnsi" w:cstheme="minorHAnsi"/>
                              <w:b/>
                            </w:rPr>
                            <w:t>DEL</w:t>
                          </w:r>
                          <w:r w:rsidRPr="00404439">
                            <w:rPr>
                              <w:rFonts w:asciiTheme="minorHAnsi" w:hAnsiTheme="minorHAnsi" w:cstheme="minorHAnsi"/>
                              <w:b/>
                              <w:spacing w:val="-4"/>
                            </w:rPr>
                            <w:t xml:space="preserve"> </w:t>
                          </w:r>
                          <w:r w:rsidRPr="00404439">
                            <w:rPr>
                              <w:rFonts w:asciiTheme="minorHAnsi" w:hAnsiTheme="minorHAnsi" w:cstheme="minorHAnsi"/>
                              <w:b/>
                            </w:rPr>
                            <w:t>SECTOR</w:t>
                          </w:r>
                        </w:p>
                      </w:tc>
                      <w:tc>
                        <w:tcPr>
                          <w:tcW w:w="2268" w:type="dxa"/>
                          <w:tcBorders>
                            <w:left w:val="single" w:sz="6" w:space="0" w:color="000000"/>
                          </w:tcBorders>
                        </w:tcPr>
                        <w:p w14:paraId="7ACDBD98" w14:textId="77777777" w:rsidR="0023708C" w:rsidRPr="00404439" w:rsidRDefault="00027B20">
                          <w:pPr>
                            <w:pStyle w:val="TableParagraph"/>
                            <w:spacing w:before="109"/>
                            <w:ind w:left="110"/>
                            <w:rPr>
                              <w:rFonts w:asciiTheme="minorHAnsi" w:hAnsiTheme="minorHAnsi" w:cstheme="minorHAnsi"/>
                              <w:sz w:val="20"/>
                              <w:szCs w:val="20"/>
                            </w:rPr>
                          </w:pPr>
                          <w:r w:rsidRPr="00404439">
                            <w:rPr>
                              <w:rFonts w:asciiTheme="minorHAnsi" w:hAnsiTheme="minorHAnsi" w:cstheme="minorHAnsi"/>
                              <w:sz w:val="20"/>
                              <w:szCs w:val="20"/>
                            </w:rPr>
                            <w:t>Código:</w:t>
                          </w:r>
                          <w:r w:rsidRPr="00404439">
                            <w:rPr>
                              <w:rFonts w:asciiTheme="minorHAnsi" w:hAnsiTheme="minorHAnsi" w:cstheme="minorHAnsi"/>
                              <w:spacing w:val="-1"/>
                              <w:sz w:val="20"/>
                              <w:szCs w:val="20"/>
                            </w:rPr>
                            <w:t xml:space="preserve"> </w:t>
                          </w:r>
                          <w:r w:rsidRPr="00404439">
                            <w:rPr>
                              <w:rFonts w:asciiTheme="minorHAnsi" w:hAnsiTheme="minorHAnsi" w:cstheme="minorHAnsi"/>
                              <w:sz w:val="20"/>
                              <w:szCs w:val="20"/>
                            </w:rPr>
                            <w:t>GJU-FR-54</w:t>
                          </w:r>
                        </w:p>
                      </w:tc>
                    </w:tr>
                    <w:tr w:rsidR="0023708C" w14:paraId="467702F7" w14:textId="77777777">
                      <w:trPr>
                        <w:trHeight w:val="417"/>
                      </w:trPr>
                      <w:tc>
                        <w:tcPr>
                          <w:tcW w:w="2381" w:type="dxa"/>
                          <w:vMerge/>
                          <w:tcBorders>
                            <w:top w:val="nil"/>
                          </w:tcBorders>
                        </w:tcPr>
                        <w:p w14:paraId="1796898E" w14:textId="77777777" w:rsidR="0023708C" w:rsidRDefault="0023708C">
                          <w:pPr>
                            <w:rPr>
                              <w:sz w:val="2"/>
                              <w:szCs w:val="2"/>
                            </w:rPr>
                          </w:pPr>
                        </w:p>
                      </w:tc>
                      <w:tc>
                        <w:tcPr>
                          <w:tcW w:w="5673" w:type="dxa"/>
                          <w:vMerge/>
                          <w:tcBorders>
                            <w:top w:val="nil"/>
                            <w:right w:val="single" w:sz="6" w:space="0" w:color="000000"/>
                          </w:tcBorders>
                        </w:tcPr>
                        <w:p w14:paraId="0527D652" w14:textId="77777777" w:rsidR="0023708C" w:rsidRDefault="0023708C">
                          <w:pPr>
                            <w:rPr>
                              <w:sz w:val="2"/>
                              <w:szCs w:val="2"/>
                            </w:rPr>
                          </w:pPr>
                        </w:p>
                      </w:tc>
                      <w:tc>
                        <w:tcPr>
                          <w:tcW w:w="2268" w:type="dxa"/>
                          <w:tcBorders>
                            <w:left w:val="single" w:sz="6" w:space="0" w:color="000000"/>
                          </w:tcBorders>
                        </w:tcPr>
                        <w:p w14:paraId="6455B113" w14:textId="77777777" w:rsidR="0023708C" w:rsidRPr="00404439" w:rsidRDefault="00027B20">
                          <w:pPr>
                            <w:pStyle w:val="TableParagraph"/>
                            <w:spacing w:before="113"/>
                            <w:ind w:left="110"/>
                            <w:rPr>
                              <w:rFonts w:asciiTheme="minorHAnsi" w:hAnsiTheme="minorHAnsi" w:cstheme="minorHAnsi"/>
                              <w:sz w:val="20"/>
                              <w:szCs w:val="20"/>
                            </w:rPr>
                          </w:pPr>
                          <w:r w:rsidRPr="00404439">
                            <w:rPr>
                              <w:rFonts w:asciiTheme="minorHAnsi" w:hAnsiTheme="minorHAnsi" w:cstheme="minorHAnsi"/>
                              <w:sz w:val="20"/>
                              <w:szCs w:val="20"/>
                            </w:rPr>
                            <w:t>Versión:</w:t>
                          </w:r>
                          <w:r w:rsidRPr="00404439">
                            <w:rPr>
                              <w:rFonts w:asciiTheme="minorHAnsi" w:hAnsiTheme="minorHAnsi" w:cstheme="minorHAnsi"/>
                              <w:spacing w:val="-4"/>
                              <w:sz w:val="20"/>
                              <w:szCs w:val="20"/>
                            </w:rPr>
                            <w:t xml:space="preserve"> </w:t>
                          </w:r>
                          <w:r w:rsidRPr="00404439">
                            <w:rPr>
                              <w:rFonts w:asciiTheme="minorHAnsi" w:hAnsiTheme="minorHAnsi" w:cstheme="minorHAnsi"/>
                              <w:sz w:val="20"/>
                              <w:szCs w:val="20"/>
                            </w:rPr>
                            <w:t>01</w:t>
                          </w:r>
                        </w:p>
                      </w:tc>
                    </w:tr>
                    <w:tr w:rsidR="0023708C" w14:paraId="37A77D08" w14:textId="77777777">
                      <w:trPr>
                        <w:trHeight w:val="856"/>
                      </w:trPr>
                      <w:tc>
                        <w:tcPr>
                          <w:tcW w:w="2381" w:type="dxa"/>
                          <w:vMerge/>
                          <w:tcBorders>
                            <w:top w:val="nil"/>
                          </w:tcBorders>
                        </w:tcPr>
                        <w:p w14:paraId="5EB98822" w14:textId="77777777" w:rsidR="0023708C" w:rsidRDefault="0023708C">
                          <w:pPr>
                            <w:rPr>
                              <w:sz w:val="2"/>
                              <w:szCs w:val="2"/>
                            </w:rPr>
                          </w:pPr>
                        </w:p>
                      </w:tc>
                      <w:tc>
                        <w:tcPr>
                          <w:tcW w:w="5673" w:type="dxa"/>
                          <w:vMerge/>
                          <w:tcBorders>
                            <w:top w:val="nil"/>
                            <w:right w:val="single" w:sz="6" w:space="0" w:color="000000"/>
                          </w:tcBorders>
                        </w:tcPr>
                        <w:p w14:paraId="0EA8685B" w14:textId="77777777" w:rsidR="0023708C" w:rsidRDefault="0023708C">
                          <w:pPr>
                            <w:rPr>
                              <w:sz w:val="2"/>
                              <w:szCs w:val="2"/>
                            </w:rPr>
                          </w:pPr>
                        </w:p>
                      </w:tc>
                      <w:tc>
                        <w:tcPr>
                          <w:tcW w:w="2268" w:type="dxa"/>
                          <w:tcBorders>
                            <w:left w:val="single" w:sz="6" w:space="0" w:color="000000"/>
                          </w:tcBorders>
                        </w:tcPr>
                        <w:p w14:paraId="6DB82307" w14:textId="77777777" w:rsidR="0023708C" w:rsidRPr="00404439" w:rsidRDefault="0023708C">
                          <w:pPr>
                            <w:pStyle w:val="TableParagraph"/>
                            <w:rPr>
                              <w:rFonts w:asciiTheme="minorHAnsi" w:hAnsiTheme="minorHAnsi" w:cstheme="minorHAnsi"/>
                              <w:sz w:val="20"/>
                              <w:szCs w:val="20"/>
                            </w:rPr>
                          </w:pPr>
                        </w:p>
                        <w:p w14:paraId="4C24B7AE" w14:textId="738C3C84" w:rsidR="0023708C" w:rsidRPr="00404439" w:rsidRDefault="00027B20">
                          <w:pPr>
                            <w:pStyle w:val="TableParagraph"/>
                            <w:spacing w:before="125"/>
                            <w:ind w:left="110"/>
                            <w:rPr>
                              <w:rFonts w:asciiTheme="minorHAnsi" w:hAnsiTheme="minorHAnsi" w:cstheme="minorHAnsi"/>
                              <w:sz w:val="20"/>
                              <w:szCs w:val="20"/>
                            </w:rPr>
                          </w:pPr>
                          <w:r w:rsidRPr="00404439">
                            <w:rPr>
                              <w:rFonts w:asciiTheme="minorHAnsi" w:hAnsiTheme="minorHAnsi" w:cstheme="minorHAnsi"/>
                              <w:sz w:val="20"/>
                              <w:szCs w:val="20"/>
                            </w:rPr>
                            <w:t>Página:</w:t>
                          </w:r>
                          <w:r w:rsidRPr="00404439">
                            <w:rPr>
                              <w:rFonts w:asciiTheme="minorHAnsi" w:hAnsiTheme="minorHAnsi" w:cstheme="minorHAnsi"/>
                              <w:spacing w:val="2"/>
                              <w:sz w:val="20"/>
                              <w:szCs w:val="20"/>
                            </w:rPr>
                            <w:t xml:space="preserve"> </w:t>
                          </w:r>
                          <w:r w:rsidRPr="00404439">
                            <w:rPr>
                              <w:rFonts w:asciiTheme="minorHAnsi" w:hAnsiTheme="minorHAnsi" w:cstheme="minorHAnsi"/>
                              <w:sz w:val="20"/>
                              <w:szCs w:val="20"/>
                            </w:rPr>
                            <w:t>1</w:t>
                          </w:r>
                          <w:r w:rsidRPr="00404439">
                            <w:rPr>
                              <w:rFonts w:asciiTheme="minorHAnsi" w:hAnsiTheme="minorHAnsi" w:cstheme="minorHAnsi"/>
                              <w:spacing w:val="-2"/>
                              <w:sz w:val="20"/>
                              <w:szCs w:val="20"/>
                            </w:rPr>
                            <w:t xml:space="preserve"> </w:t>
                          </w:r>
                          <w:r w:rsidRPr="00404439">
                            <w:rPr>
                              <w:rFonts w:asciiTheme="minorHAnsi" w:hAnsiTheme="minorHAnsi" w:cstheme="minorHAnsi"/>
                              <w:sz w:val="20"/>
                              <w:szCs w:val="20"/>
                            </w:rPr>
                            <w:t xml:space="preserve">de </w:t>
                          </w:r>
                          <w:r w:rsidR="00483FC7">
                            <w:rPr>
                              <w:rFonts w:asciiTheme="minorHAnsi" w:hAnsiTheme="minorHAnsi" w:cstheme="minorHAnsi"/>
                              <w:sz w:val="20"/>
                              <w:szCs w:val="20"/>
                            </w:rPr>
                            <w:t>2</w:t>
                          </w:r>
                          <w:r w:rsidR="0042403F">
                            <w:rPr>
                              <w:rFonts w:asciiTheme="minorHAnsi" w:hAnsiTheme="minorHAnsi" w:cstheme="minorHAnsi"/>
                              <w:sz w:val="20"/>
                              <w:szCs w:val="20"/>
                            </w:rPr>
                            <w:t>7</w:t>
                          </w:r>
                        </w:p>
                      </w:tc>
                    </w:tr>
                  </w:tbl>
                  <w:p w14:paraId="2F74682F" w14:textId="77777777" w:rsidR="0023708C" w:rsidRDefault="0023708C">
                    <w:pPr>
                      <w:pStyle w:val="Textoindependiente"/>
                    </w:pPr>
                  </w:p>
                </w:txbxContent>
              </v:textbox>
              <w10:wrap anchorx="page" anchory="page"/>
            </v:shape>
          </w:pict>
        </mc:Fallback>
      </mc:AlternateContent>
    </w:r>
    <w:r w:rsidR="00027B20">
      <w:rPr>
        <w:noProof/>
      </w:rPr>
      <w:drawing>
        <wp:anchor distT="0" distB="0" distL="0" distR="0" simplePos="0" relativeHeight="251668480" behindDoc="1" locked="0" layoutInCell="1" allowOverlap="1" wp14:anchorId="1F88D049" wp14:editId="5EAB4BAC">
          <wp:simplePos x="0" y="0"/>
          <wp:positionH relativeFrom="page">
            <wp:posOffset>923289</wp:posOffset>
          </wp:positionH>
          <wp:positionV relativeFrom="page">
            <wp:posOffset>598169</wp:posOffset>
          </wp:positionV>
          <wp:extent cx="651230" cy="784225"/>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51230" cy="784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E7382"/>
    <w:multiLevelType w:val="hybridMultilevel"/>
    <w:tmpl w:val="8BFCE1BE"/>
    <w:lvl w:ilvl="0" w:tplc="588663DC">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 w15:restartNumberingAfterBreak="0">
    <w:nsid w:val="2B422D57"/>
    <w:multiLevelType w:val="hybridMultilevel"/>
    <w:tmpl w:val="592414A8"/>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2" w15:restartNumberingAfterBreak="0">
    <w:nsid w:val="2C492F13"/>
    <w:multiLevelType w:val="hybridMultilevel"/>
    <w:tmpl w:val="9C84DD4C"/>
    <w:lvl w:ilvl="0" w:tplc="F1FC02F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 w15:restartNumberingAfterBreak="0">
    <w:nsid w:val="306A1C1C"/>
    <w:multiLevelType w:val="multilevel"/>
    <w:tmpl w:val="03E81998"/>
    <w:lvl w:ilvl="0">
      <w:start w:val="1"/>
      <w:numFmt w:val="decimal"/>
      <w:lvlText w:val="%1."/>
      <w:lvlJc w:val="left"/>
      <w:pPr>
        <w:ind w:left="720" w:hanging="360"/>
      </w:pPr>
      <w:rPr>
        <w:b/>
      </w:rPr>
    </w:lvl>
    <w:lvl w:ilvl="1">
      <w:start w:val="1"/>
      <w:numFmt w:val="decimal"/>
      <w:lvlText w:val="%1.%2."/>
      <w:lvlJc w:val="left"/>
      <w:pPr>
        <w:ind w:left="855" w:hanging="495"/>
      </w:pPr>
      <w:rPr>
        <w:b/>
        <w:bCs/>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32232EFF"/>
    <w:multiLevelType w:val="hybridMultilevel"/>
    <w:tmpl w:val="DC842FDC"/>
    <w:lvl w:ilvl="0" w:tplc="76ECDBE2">
      <w:start w:val="1"/>
      <w:numFmt w:val="decimal"/>
      <w:lvlText w:val="%1."/>
      <w:lvlJc w:val="left"/>
      <w:pPr>
        <w:ind w:left="1211" w:hanging="360"/>
      </w:pPr>
      <w:rPr>
        <w:rFonts w:hint="default"/>
        <w:b w:val="0"/>
        <w:bCs w:val="0"/>
      </w:rPr>
    </w:lvl>
    <w:lvl w:ilvl="1" w:tplc="240A0019" w:tentative="1">
      <w:start w:val="1"/>
      <w:numFmt w:val="lowerLetter"/>
      <w:lvlText w:val="%2."/>
      <w:lvlJc w:val="left"/>
      <w:pPr>
        <w:ind w:left="1931" w:hanging="360"/>
      </w:pPr>
    </w:lvl>
    <w:lvl w:ilvl="2" w:tplc="240A001B">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5" w15:restartNumberingAfterBreak="0">
    <w:nsid w:val="36A81672"/>
    <w:multiLevelType w:val="hybridMultilevel"/>
    <w:tmpl w:val="756C4686"/>
    <w:lvl w:ilvl="0" w:tplc="F0967368">
      <w:start w:val="1"/>
      <w:numFmt w:val="decimal"/>
      <w:lvlText w:val="%1."/>
      <w:lvlJc w:val="left"/>
      <w:pPr>
        <w:ind w:left="1436" w:hanging="58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9187F86"/>
    <w:multiLevelType w:val="multilevel"/>
    <w:tmpl w:val="4FE214CA"/>
    <w:lvl w:ilvl="0">
      <w:start w:val="2"/>
      <w:numFmt w:val="decimal"/>
      <w:lvlText w:val="%1."/>
      <w:lvlJc w:val="left"/>
      <w:pPr>
        <w:ind w:left="1124" w:hanging="203"/>
      </w:pPr>
      <w:rPr>
        <w:rFonts w:ascii="Lucida Sans Unicode" w:eastAsia="Lucida Sans Unicode" w:hAnsi="Lucida Sans Unicode" w:cs="Lucida Sans Unicode" w:hint="default"/>
        <w:spacing w:val="-7"/>
        <w:w w:val="100"/>
        <w:sz w:val="18"/>
        <w:szCs w:val="18"/>
        <w:lang w:val="es-ES" w:eastAsia="en-US" w:bidi="ar-SA"/>
      </w:rPr>
    </w:lvl>
    <w:lvl w:ilvl="1">
      <w:start w:val="1"/>
      <w:numFmt w:val="decimal"/>
      <w:lvlText w:val="%1.%2"/>
      <w:lvlJc w:val="left"/>
      <w:pPr>
        <w:ind w:left="1208" w:hanging="287"/>
      </w:pPr>
      <w:rPr>
        <w:rFonts w:ascii="Lucida Sans Unicode" w:eastAsia="Lucida Sans Unicode" w:hAnsi="Lucida Sans Unicode" w:cs="Lucida Sans Unicode" w:hint="default"/>
        <w:spacing w:val="-13"/>
        <w:w w:val="100"/>
        <w:sz w:val="18"/>
        <w:szCs w:val="18"/>
        <w:lang w:val="es-ES" w:eastAsia="en-US" w:bidi="ar-SA"/>
      </w:rPr>
    </w:lvl>
    <w:lvl w:ilvl="2">
      <w:numFmt w:val="bullet"/>
      <w:lvlText w:val="•"/>
      <w:lvlJc w:val="left"/>
      <w:pPr>
        <w:ind w:left="2253" w:hanging="287"/>
      </w:pPr>
      <w:rPr>
        <w:rFonts w:hint="default"/>
        <w:lang w:val="es-ES" w:eastAsia="en-US" w:bidi="ar-SA"/>
      </w:rPr>
    </w:lvl>
    <w:lvl w:ilvl="3">
      <w:numFmt w:val="bullet"/>
      <w:lvlText w:val="•"/>
      <w:lvlJc w:val="left"/>
      <w:pPr>
        <w:ind w:left="3306" w:hanging="287"/>
      </w:pPr>
      <w:rPr>
        <w:rFonts w:hint="default"/>
        <w:lang w:val="es-ES" w:eastAsia="en-US" w:bidi="ar-SA"/>
      </w:rPr>
    </w:lvl>
    <w:lvl w:ilvl="4">
      <w:numFmt w:val="bullet"/>
      <w:lvlText w:val="•"/>
      <w:lvlJc w:val="left"/>
      <w:pPr>
        <w:ind w:left="4360" w:hanging="287"/>
      </w:pPr>
      <w:rPr>
        <w:rFonts w:hint="default"/>
        <w:lang w:val="es-ES" w:eastAsia="en-US" w:bidi="ar-SA"/>
      </w:rPr>
    </w:lvl>
    <w:lvl w:ilvl="5">
      <w:numFmt w:val="bullet"/>
      <w:lvlText w:val="•"/>
      <w:lvlJc w:val="left"/>
      <w:pPr>
        <w:ind w:left="5413" w:hanging="287"/>
      </w:pPr>
      <w:rPr>
        <w:rFonts w:hint="default"/>
        <w:lang w:val="es-ES" w:eastAsia="en-US" w:bidi="ar-SA"/>
      </w:rPr>
    </w:lvl>
    <w:lvl w:ilvl="6">
      <w:numFmt w:val="bullet"/>
      <w:lvlText w:val="•"/>
      <w:lvlJc w:val="left"/>
      <w:pPr>
        <w:ind w:left="6466" w:hanging="287"/>
      </w:pPr>
      <w:rPr>
        <w:rFonts w:hint="default"/>
        <w:lang w:val="es-ES" w:eastAsia="en-US" w:bidi="ar-SA"/>
      </w:rPr>
    </w:lvl>
    <w:lvl w:ilvl="7">
      <w:numFmt w:val="bullet"/>
      <w:lvlText w:val="•"/>
      <w:lvlJc w:val="left"/>
      <w:pPr>
        <w:ind w:left="7520" w:hanging="287"/>
      </w:pPr>
      <w:rPr>
        <w:rFonts w:hint="default"/>
        <w:lang w:val="es-ES" w:eastAsia="en-US" w:bidi="ar-SA"/>
      </w:rPr>
    </w:lvl>
    <w:lvl w:ilvl="8">
      <w:numFmt w:val="bullet"/>
      <w:lvlText w:val="•"/>
      <w:lvlJc w:val="left"/>
      <w:pPr>
        <w:ind w:left="8573" w:hanging="287"/>
      </w:pPr>
      <w:rPr>
        <w:rFonts w:hint="default"/>
        <w:lang w:val="es-ES" w:eastAsia="en-US" w:bidi="ar-SA"/>
      </w:rPr>
    </w:lvl>
  </w:abstractNum>
  <w:abstractNum w:abstractNumId="7" w15:restartNumberingAfterBreak="0">
    <w:nsid w:val="46A27668"/>
    <w:multiLevelType w:val="multilevel"/>
    <w:tmpl w:val="0C18650C"/>
    <w:lvl w:ilvl="0">
      <w:start w:val="1"/>
      <w:numFmt w:val="upperRoman"/>
      <w:lvlText w:val="%1."/>
      <w:lvlJc w:val="left"/>
      <w:pPr>
        <w:ind w:left="1080" w:hanging="720"/>
      </w:pPr>
      <w:rPr>
        <w:rFonts w:hint="default"/>
      </w:rPr>
    </w:lvl>
    <w:lvl w:ilvl="1">
      <w:start w:val="8"/>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8" w15:restartNumberingAfterBreak="0">
    <w:nsid w:val="4BC03FE0"/>
    <w:multiLevelType w:val="hybridMultilevel"/>
    <w:tmpl w:val="E536CCA0"/>
    <w:lvl w:ilvl="0" w:tplc="221AC4E6">
      <w:start w:val="1"/>
      <w:numFmt w:val="decimal"/>
      <w:lvlText w:val="%1."/>
      <w:lvlJc w:val="left"/>
      <w:pPr>
        <w:ind w:left="1436" w:hanging="585"/>
      </w:pPr>
      <w:rPr>
        <w:rFonts w:hint="default"/>
      </w:rPr>
    </w:lvl>
    <w:lvl w:ilvl="1" w:tplc="C6E026EC">
      <w:start w:val="1"/>
      <w:numFmt w:val="lowerLetter"/>
      <w:lvlText w:val="%2-"/>
      <w:lvlJc w:val="left"/>
      <w:pPr>
        <w:ind w:left="2156" w:hanging="585"/>
      </w:pPr>
      <w:rPr>
        <w:rFonts w:hint="default"/>
      </w:r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9" w15:restartNumberingAfterBreak="0">
    <w:nsid w:val="5205560E"/>
    <w:multiLevelType w:val="hybridMultilevel"/>
    <w:tmpl w:val="236EA8A4"/>
    <w:lvl w:ilvl="0" w:tplc="981E20BC">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EAE16CD"/>
    <w:multiLevelType w:val="multilevel"/>
    <w:tmpl w:val="FD7AED76"/>
    <w:lvl w:ilvl="0">
      <w:start w:val="1"/>
      <w:numFmt w:val="decimal"/>
      <w:lvlText w:val="%1."/>
      <w:lvlJc w:val="left"/>
      <w:pPr>
        <w:ind w:left="1211" w:hanging="360"/>
      </w:pPr>
      <w:rPr>
        <w:rFonts w:hint="default"/>
        <w:b/>
        <w:bCs/>
      </w:rPr>
    </w:lvl>
    <w:lvl w:ilvl="1">
      <w:start w:val="1"/>
      <w:numFmt w:val="decimal"/>
      <w:isLgl/>
      <w:lvlText w:val="%1.%2."/>
      <w:lvlJc w:val="left"/>
      <w:pPr>
        <w:ind w:left="1571" w:hanging="720"/>
      </w:pPr>
      <w:rPr>
        <w:rFonts w:hint="default"/>
        <w:b/>
        <w:bCs/>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1" w15:restartNumberingAfterBreak="0">
    <w:nsid w:val="61C3509E"/>
    <w:multiLevelType w:val="hybridMultilevel"/>
    <w:tmpl w:val="DF787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33C3F5E"/>
    <w:multiLevelType w:val="hybridMultilevel"/>
    <w:tmpl w:val="B1187292"/>
    <w:lvl w:ilvl="0" w:tplc="240A0001">
      <w:start w:val="1"/>
      <w:numFmt w:val="bullet"/>
      <w:lvlText w:val=""/>
      <w:lvlJc w:val="left"/>
      <w:pPr>
        <w:ind w:left="1571" w:hanging="360"/>
      </w:pPr>
      <w:rPr>
        <w:rFonts w:ascii="Symbol" w:hAnsi="Symbol" w:hint="default"/>
      </w:rPr>
    </w:lvl>
    <w:lvl w:ilvl="1" w:tplc="240A0003" w:tentative="1">
      <w:start w:val="1"/>
      <w:numFmt w:val="bullet"/>
      <w:lvlText w:val="o"/>
      <w:lvlJc w:val="left"/>
      <w:pPr>
        <w:ind w:left="2291" w:hanging="360"/>
      </w:pPr>
      <w:rPr>
        <w:rFonts w:ascii="Courier New" w:hAnsi="Courier New" w:cs="Courier New" w:hint="default"/>
      </w:rPr>
    </w:lvl>
    <w:lvl w:ilvl="2" w:tplc="240A0005" w:tentative="1">
      <w:start w:val="1"/>
      <w:numFmt w:val="bullet"/>
      <w:lvlText w:val=""/>
      <w:lvlJc w:val="left"/>
      <w:pPr>
        <w:ind w:left="3011" w:hanging="360"/>
      </w:pPr>
      <w:rPr>
        <w:rFonts w:ascii="Wingdings" w:hAnsi="Wingdings" w:hint="default"/>
      </w:rPr>
    </w:lvl>
    <w:lvl w:ilvl="3" w:tplc="240A0001" w:tentative="1">
      <w:start w:val="1"/>
      <w:numFmt w:val="bullet"/>
      <w:lvlText w:val=""/>
      <w:lvlJc w:val="left"/>
      <w:pPr>
        <w:ind w:left="3731" w:hanging="360"/>
      </w:pPr>
      <w:rPr>
        <w:rFonts w:ascii="Symbol" w:hAnsi="Symbol" w:hint="default"/>
      </w:rPr>
    </w:lvl>
    <w:lvl w:ilvl="4" w:tplc="240A0003" w:tentative="1">
      <w:start w:val="1"/>
      <w:numFmt w:val="bullet"/>
      <w:lvlText w:val="o"/>
      <w:lvlJc w:val="left"/>
      <w:pPr>
        <w:ind w:left="4451" w:hanging="360"/>
      </w:pPr>
      <w:rPr>
        <w:rFonts w:ascii="Courier New" w:hAnsi="Courier New" w:cs="Courier New" w:hint="default"/>
      </w:rPr>
    </w:lvl>
    <w:lvl w:ilvl="5" w:tplc="240A0005" w:tentative="1">
      <w:start w:val="1"/>
      <w:numFmt w:val="bullet"/>
      <w:lvlText w:val=""/>
      <w:lvlJc w:val="left"/>
      <w:pPr>
        <w:ind w:left="5171" w:hanging="360"/>
      </w:pPr>
      <w:rPr>
        <w:rFonts w:ascii="Wingdings" w:hAnsi="Wingdings" w:hint="default"/>
      </w:rPr>
    </w:lvl>
    <w:lvl w:ilvl="6" w:tplc="240A0001" w:tentative="1">
      <w:start w:val="1"/>
      <w:numFmt w:val="bullet"/>
      <w:lvlText w:val=""/>
      <w:lvlJc w:val="left"/>
      <w:pPr>
        <w:ind w:left="5891" w:hanging="360"/>
      </w:pPr>
      <w:rPr>
        <w:rFonts w:ascii="Symbol" w:hAnsi="Symbol" w:hint="default"/>
      </w:rPr>
    </w:lvl>
    <w:lvl w:ilvl="7" w:tplc="240A0003" w:tentative="1">
      <w:start w:val="1"/>
      <w:numFmt w:val="bullet"/>
      <w:lvlText w:val="o"/>
      <w:lvlJc w:val="left"/>
      <w:pPr>
        <w:ind w:left="6611" w:hanging="360"/>
      </w:pPr>
      <w:rPr>
        <w:rFonts w:ascii="Courier New" w:hAnsi="Courier New" w:cs="Courier New" w:hint="default"/>
      </w:rPr>
    </w:lvl>
    <w:lvl w:ilvl="8" w:tplc="240A0005" w:tentative="1">
      <w:start w:val="1"/>
      <w:numFmt w:val="bullet"/>
      <w:lvlText w:val=""/>
      <w:lvlJc w:val="left"/>
      <w:pPr>
        <w:ind w:left="7331" w:hanging="360"/>
      </w:pPr>
      <w:rPr>
        <w:rFonts w:ascii="Wingdings" w:hAnsi="Wingdings" w:hint="default"/>
      </w:rPr>
    </w:lvl>
  </w:abstractNum>
  <w:abstractNum w:abstractNumId="13" w15:restartNumberingAfterBreak="0">
    <w:nsid w:val="68265306"/>
    <w:multiLevelType w:val="multilevel"/>
    <w:tmpl w:val="D35CF5CC"/>
    <w:lvl w:ilvl="0">
      <w:start w:val="1"/>
      <w:numFmt w:val="decimal"/>
      <w:lvlText w:val="%1."/>
      <w:lvlJc w:val="left"/>
      <w:pPr>
        <w:ind w:left="360" w:hanging="360"/>
      </w:pPr>
      <w:rPr>
        <w:b/>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68B358F0"/>
    <w:multiLevelType w:val="hybridMultilevel"/>
    <w:tmpl w:val="764CB1A2"/>
    <w:lvl w:ilvl="0" w:tplc="5EBCD154">
      <w:start w:val="1"/>
      <w:numFmt w:val="lowerLetter"/>
      <w:lvlText w:val="%1-"/>
      <w:lvlJc w:val="left"/>
      <w:pPr>
        <w:ind w:left="1211" w:hanging="360"/>
      </w:pPr>
      <w:rPr>
        <w:rFonts w:hint="default"/>
      </w:rPr>
    </w:lvl>
    <w:lvl w:ilvl="1" w:tplc="240A0019">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15" w15:restartNumberingAfterBreak="0">
    <w:nsid w:val="79242628"/>
    <w:multiLevelType w:val="multilevel"/>
    <w:tmpl w:val="3E6E4F4E"/>
    <w:lvl w:ilvl="0">
      <w:start w:val="2"/>
      <w:numFmt w:val="decimal"/>
      <w:lvlText w:val="%1."/>
      <w:lvlJc w:val="left"/>
      <w:pPr>
        <w:ind w:left="360" w:hanging="360"/>
      </w:pPr>
      <w:rPr>
        <w:rFonts w:hint="default"/>
        <w:b/>
      </w:rPr>
    </w:lvl>
    <w:lvl w:ilvl="1">
      <w:start w:val="1"/>
      <w:numFmt w:val="decimal"/>
      <w:isLgl/>
      <w:lvlText w:val="%1.%2."/>
      <w:lvlJc w:val="left"/>
      <w:pPr>
        <w:ind w:left="720" w:hanging="720"/>
      </w:pPr>
      <w:rPr>
        <w:rFonts w:hint="default"/>
        <w:b/>
      </w:rPr>
    </w:lvl>
    <w:lvl w:ilvl="2">
      <w:start w:val="3"/>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AB41D07"/>
    <w:multiLevelType w:val="multilevel"/>
    <w:tmpl w:val="99DE7B84"/>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19977189">
    <w:abstractNumId w:val="6"/>
  </w:num>
  <w:num w:numId="2" w16cid:durableId="445396133">
    <w:abstractNumId w:val="12"/>
  </w:num>
  <w:num w:numId="3" w16cid:durableId="1979070293">
    <w:abstractNumId w:val="10"/>
  </w:num>
  <w:num w:numId="4" w16cid:durableId="1357925581">
    <w:abstractNumId w:val="8"/>
  </w:num>
  <w:num w:numId="5" w16cid:durableId="2074690740">
    <w:abstractNumId w:val="14"/>
  </w:num>
  <w:num w:numId="6" w16cid:durableId="1402825816">
    <w:abstractNumId w:val="5"/>
  </w:num>
  <w:num w:numId="7" w16cid:durableId="1982464964">
    <w:abstractNumId w:val="1"/>
  </w:num>
  <w:num w:numId="8" w16cid:durableId="1627853440">
    <w:abstractNumId w:val="13"/>
  </w:num>
  <w:num w:numId="9" w16cid:durableId="1635716795">
    <w:abstractNumId w:val="15"/>
  </w:num>
  <w:num w:numId="10" w16cid:durableId="1333340511">
    <w:abstractNumId w:val="4"/>
  </w:num>
  <w:num w:numId="11" w16cid:durableId="1930768956">
    <w:abstractNumId w:val="16"/>
  </w:num>
  <w:num w:numId="12" w16cid:durableId="1496796620">
    <w:abstractNumId w:val="3"/>
  </w:num>
  <w:num w:numId="13" w16cid:durableId="533155922">
    <w:abstractNumId w:val="11"/>
  </w:num>
  <w:num w:numId="14" w16cid:durableId="1266183671">
    <w:abstractNumId w:val="7"/>
  </w:num>
  <w:num w:numId="15" w16cid:durableId="3899114">
    <w:abstractNumId w:val="9"/>
  </w:num>
  <w:num w:numId="16" w16cid:durableId="54202589">
    <w:abstractNumId w:val="0"/>
  </w:num>
  <w:num w:numId="17" w16cid:durableId="13075133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708C"/>
    <w:rsid w:val="0000095E"/>
    <w:rsid w:val="000011D1"/>
    <w:rsid w:val="000176FA"/>
    <w:rsid w:val="00027B20"/>
    <w:rsid w:val="00034ABB"/>
    <w:rsid w:val="00051BEB"/>
    <w:rsid w:val="000525C1"/>
    <w:rsid w:val="000542A0"/>
    <w:rsid w:val="00056297"/>
    <w:rsid w:val="00061CE8"/>
    <w:rsid w:val="000714C5"/>
    <w:rsid w:val="000738F6"/>
    <w:rsid w:val="00074830"/>
    <w:rsid w:val="000839C6"/>
    <w:rsid w:val="00092512"/>
    <w:rsid w:val="000964DF"/>
    <w:rsid w:val="000B65D2"/>
    <w:rsid w:val="000C0ADA"/>
    <w:rsid w:val="000C4E15"/>
    <w:rsid w:val="000D104A"/>
    <w:rsid w:val="000D4480"/>
    <w:rsid w:val="000D4AD6"/>
    <w:rsid w:val="000D4CD3"/>
    <w:rsid w:val="000E7060"/>
    <w:rsid w:val="00110D7E"/>
    <w:rsid w:val="00115081"/>
    <w:rsid w:val="00115895"/>
    <w:rsid w:val="00115964"/>
    <w:rsid w:val="00116ADB"/>
    <w:rsid w:val="00121D10"/>
    <w:rsid w:val="0013641F"/>
    <w:rsid w:val="00136B91"/>
    <w:rsid w:val="00137136"/>
    <w:rsid w:val="00140051"/>
    <w:rsid w:val="00155327"/>
    <w:rsid w:val="0017369E"/>
    <w:rsid w:val="00177686"/>
    <w:rsid w:val="00187CFA"/>
    <w:rsid w:val="001907BB"/>
    <w:rsid w:val="001919F3"/>
    <w:rsid w:val="001B4993"/>
    <w:rsid w:val="00200D6D"/>
    <w:rsid w:val="00201B30"/>
    <w:rsid w:val="00216BF2"/>
    <w:rsid w:val="00220E03"/>
    <w:rsid w:val="0022501A"/>
    <w:rsid w:val="00225A6F"/>
    <w:rsid w:val="0023708C"/>
    <w:rsid w:val="00237D46"/>
    <w:rsid w:val="00243DCB"/>
    <w:rsid w:val="00247701"/>
    <w:rsid w:val="00253645"/>
    <w:rsid w:val="00263568"/>
    <w:rsid w:val="00264681"/>
    <w:rsid w:val="00267EE5"/>
    <w:rsid w:val="002713E9"/>
    <w:rsid w:val="00271F9B"/>
    <w:rsid w:val="0029033E"/>
    <w:rsid w:val="002A4E04"/>
    <w:rsid w:val="002A752B"/>
    <w:rsid w:val="002B0B78"/>
    <w:rsid w:val="002C55C7"/>
    <w:rsid w:val="002C7CE6"/>
    <w:rsid w:val="002E21D3"/>
    <w:rsid w:val="002E56A2"/>
    <w:rsid w:val="00313D04"/>
    <w:rsid w:val="00317621"/>
    <w:rsid w:val="00334010"/>
    <w:rsid w:val="00345CCC"/>
    <w:rsid w:val="00355005"/>
    <w:rsid w:val="00357239"/>
    <w:rsid w:val="0035774B"/>
    <w:rsid w:val="00370554"/>
    <w:rsid w:val="00370614"/>
    <w:rsid w:val="00373D3E"/>
    <w:rsid w:val="00374E93"/>
    <w:rsid w:val="00376FCC"/>
    <w:rsid w:val="003834D9"/>
    <w:rsid w:val="003848F7"/>
    <w:rsid w:val="00390FFF"/>
    <w:rsid w:val="00394670"/>
    <w:rsid w:val="003A5819"/>
    <w:rsid w:val="003B05A5"/>
    <w:rsid w:val="003B4FA1"/>
    <w:rsid w:val="003C4C1C"/>
    <w:rsid w:val="003C6639"/>
    <w:rsid w:val="003D21A3"/>
    <w:rsid w:val="003D3096"/>
    <w:rsid w:val="003E01E2"/>
    <w:rsid w:val="003F1B7F"/>
    <w:rsid w:val="00402814"/>
    <w:rsid w:val="00404439"/>
    <w:rsid w:val="00406A48"/>
    <w:rsid w:val="00406E3C"/>
    <w:rsid w:val="004126A9"/>
    <w:rsid w:val="00415736"/>
    <w:rsid w:val="004219FF"/>
    <w:rsid w:val="0042403F"/>
    <w:rsid w:val="00424C1E"/>
    <w:rsid w:val="00437E9A"/>
    <w:rsid w:val="0044271C"/>
    <w:rsid w:val="00463921"/>
    <w:rsid w:val="00467E4B"/>
    <w:rsid w:val="00474546"/>
    <w:rsid w:val="00481812"/>
    <w:rsid w:val="004839F4"/>
    <w:rsid w:val="00483FC7"/>
    <w:rsid w:val="00484812"/>
    <w:rsid w:val="004A0A86"/>
    <w:rsid w:val="004A4A28"/>
    <w:rsid w:val="004B1863"/>
    <w:rsid w:val="004B4B61"/>
    <w:rsid w:val="004D2BFB"/>
    <w:rsid w:val="004D672C"/>
    <w:rsid w:val="004F4D60"/>
    <w:rsid w:val="0051273C"/>
    <w:rsid w:val="0052401B"/>
    <w:rsid w:val="0052478E"/>
    <w:rsid w:val="00527E58"/>
    <w:rsid w:val="0054086B"/>
    <w:rsid w:val="00557C14"/>
    <w:rsid w:val="00562F17"/>
    <w:rsid w:val="00564CA4"/>
    <w:rsid w:val="0056672E"/>
    <w:rsid w:val="0057586F"/>
    <w:rsid w:val="005855B7"/>
    <w:rsid w:val="0058570B"/>
    <w:rsid w:val="005A381F"/>
    <w:rsid w:val="005A3856"/>
    <w:rsid w:val="005A5F98"/>
    <w:rsid w:val="005E0DB8"/>
    <w:rsid w:val="005E7F70"/>
    <w:rsid w:val="005F3887"/>
    <w:rsid w:val="005F3E92"/>
    <w:rsid w:val="005F76F2"/>
    <w:rsid w:val="00604F9D"/>
    <w:rsid w:val="00606450"/>
    <w:rsid w:val="00610209"/>
    <w:rsid w:val="0061622E"/>
    <w:rsid w:val="006177D9"/>
    <w:rsid w:val="00623F97"/>
    <w:rsid w:val="00632C7C"/>
    <w:rsid w:val="00636963"/>
    <w:rsid w:val="006372AD"/>
    <w:rsid w:val="0064086C"/>
    <w:rsid w:val="00647E33"/>
    <w:rsid w:val="00651D57"/>
    <w:rsid w:val="00674FC2"/>
    <w:rsid w:val="00685427"/>
    <w:rsid w:val="006946DB"/>
    <w:rsid w:val="006947FA"/>
    <w:rsid w:val="006A3FA6"/>
    <w:rsid w:val="006A4081"/>
    <w:rsid w:val="006C7A7B"/>
    <w:rsid w:val="006D2CF3"/>
    <w:rsid w:val="006D6C43"/>
    <w:rsid w:val="006E4724"/>
    <w:rsid w:val="006F36A0"/>
    <w:rsid w:val="006F47EB"/>
    <w:rsid w:val="00702EC0"/>
    <w:rsid w:val="00707823"/>
    <w:rsid w:val="00712C10"/>
    <w:rsid w:val="00714C01"/>
    <w:rsid w:val="0071518C"/>
    <w:rsid w:val="0073263D"/>
    <w:rsid w:val="007542E1"/>
    <w:rsid w:val="00756957"/>
    <w:rsid w:val="007573ED"/>
    <w:rsid w:val="007700E6"/>
    <w:rsid w:val="00792835"/>
    <w:rsid w:val="007B0A62"/>
    <w:rsid w:val="007B2F2B"/>
    <w:rsid w:val="007C2036"/>
    <w:rsid w:val="007C2E40"/>
    <w:rsid w:val="007C4C09"/>
    <w:rsid w:val="007C5170"/>
    <w:rsid w:val="007D40CC"/>
    <w:rsid w:val="007E5075"/>
    <w:rsid w:val="007E6FE8"/>
    <w:rsid w:val="008230AD"/>
    <w:rsid w:val="00824834"/>
    <w:rsid w:val="00824D6A"/>
    <w:rsid w:val="00842165"/>
    <w:rsid w:val="00844091"/>
    <w:rsid w:val="00850DBE"/>
    <w:rsid w:val="008563B9"/>
    <w:rsid w:val="00872D16"/>
    <w:rsid w:val="00873559"/>
    <w:rsid w:val="00896CB3"/>
    <w:rsid w:val="00897493"/>
    <w:rsid w:val="008D4DE0"/>
    <w:rsid w:val="008E1A15"/>
    <w:rsid w:val="008E70D9"/>
    <w:rsid w:val="008F060D"/>
    <w:rsid w:val="008F1E5F"/>
    <w:rsid w:val="008F46E3"/>
    <w:rsid w:val="008F5E7F"/>
    <w:rsid w:val="008F6C34"/>
    <w:rsid w:val="00913639"/>
    <w:rsid w:val="00915E4C"/>
    <w:rsid w:val="00917849"/>
    <w:rsid w:val="00927206"/>
    <w:rsid w:val="00955391"/>
    <w:rsid w:val="009568AF"/>
    <w:rsid w:val="00963011"/>
    <w:rsid w:val="009652D3"/>
    <w:rsid w:val="00972904"/>
    <w:rsid w:val="00976EA3"/>
    <w:rsid w:val="00977B41"/>
    <w:rsid w:val="0098172D"/>
    <w:rsid w:val="00992B74"/>
    <w:rsid w:val="00995D29"/>
    <w:rsid w:val="009A22D0"/>
    <w:rsid w:val="009A25AD"/>
    <w:rsid w:val="009A446A"/>
    <w:rsid w:val="009C09DB"/>
    <w:rsid w:val="009C4158"/>
    <w:rsid w:val="009C7C4F"/>
    <w:rsid w:val="009D2C2A"/>
    <w:rsid w:val="009D6448"/>
    <w:rsid w:val="009E5BCC"/>
    <w:rsid w:val="009F2B88"/>
    <w:rsid w:val="009F6A9A"/>
    <w:rsid w:val="00A0161D"/>
    <w:rsid w:val="00A11D0E"/>
    <w:rsid w:val="00A42E0D"/>
    <w:rsid w:val="00A469B8"/>
    <w:rsid w:val="00A6320C"/>
    <w:rsid w:val="00A64643"/>
    <w:rsid w:val="00A859DD"/>
    <w:rsid w:val="00A92988"/>
    <w:rsid w:val="00AA4FB8"/>
    <w:rsid w:val="00AA6D0B"/>
    <w:rsid w:val="00AB07CE"/>
    <w:rsid w:val="00AB1987"/>
    <w:rsid w:val="00AB65A7"/>
    <w:rsid w:val="00AC3B7B"/>
    <w:rsid w:val="00AD2230"/>
    <w:rsid w:val="00AD4CC2"/>
    <w:rsid w:val="00AE259C"/>
    <w:rsid w:val="00AE612E"/>
    <w:rsid w:val="00AF14DA"/>
    <w:rsid w:val="00B025AE"/>
    <w:rsid w:val="00B056E9"/>
    <w:rsid w:val="00B102D2"/>
    <w:rsid w:val="00B25BA9"/>
    <w:rsid w:val="00B326F3"/>
    <w:rsid w:val="00B4554B"/>
    <w:rsid w:val="00B74D92"/>
    <w:rsid w:val="00BC0318"/>
    <w:rsid w:val="00BC368B"/>
    <w:rsid w:val="00BD518C"/>
    <w:rsid w:val="00BE34F8"/>
    <w:rsid w:val="00BE6426"/>
    <w:rsid w:val="00BF0064"/>
    <w:rsid w:val="00BF7CC7"/>
    <w:rsid w:val="00C04CFF"/>
    <w:rsid w:val="00C10F2C"/>
    <w:rsid w:val="00C13B01"/>
    <w:rsid w:val="00C27E3A"/>
    <w:rsid w:val="00C302E6"/>
    <w:rsid w:val="00C32F39"/>
    <w:rsid w:val="00C402BA"/>
    <w:rsid w:val="00C53234"/>
    <w:rsid w:val="00C55BB9"/>
    <w:rsid w:val="00C60A18"/>
    <w:rsid w:val="00C61D89"/>
    <w:rsid w:val="00C64327"/>
    <w:rsid w:val="00C66FF2"/>
    <w:rsid w:val="00C71089"/>
    <w:rsid w:val="00C7391D"/>
    <w:rsid w:val="00CA1DD2"/>
    <w:rsid w:val="00CB53D9"/>
    <w:rsid w:val="00CC2355"/>
    <w:rsid w:val="00CC50DC"/>
    <w:rsid w:val="00CD0319"/>
    <w:rsid w:val="00CE3916"/>
    <w:rsid w:val="00D105C9"/>
    <w:rsid w:val="00D14329"/>
    <w:rsid w:val="00D30BF0"/>
    <w:rsid w:val="00D3139B"/>
    <w:rsid w:val="00D3732A"/>
    <w:rsid w:val="00D43683"/>
    <w:rsid w:val="00D447EA"/>
    <w:rsid w:val="00D45C82"/>
    <w:rsid w:val="00D74DF5"/>
    <w:rsid w:val="00DA0651"/>
    <w:rsid w:val="00DA7343"/>
    <w:rsid w:val="00DE29B9"/>
    <w:rsid w:val="00DF3B67"/>
    <w:rsid w:val="00E04952"/>
    <w:rsid w:val="00E06C5D"/>
    <w:rsid w:val="00E11673"/>
    <w:rsid w:val="00E1470E"/>
    <w:rsid w:val="00E2280A"/>
    <w:rsid w:val="00E24C96"/>
    <w:rsid w:val="00E262FC"/>
    <w:rsid w:val="00E26741"/>
    <w:rsid w:val="00E30BCD"/>
    <w:rsid w:val="00E367C8"/>
    <w:rsid w:val="00E407B6"/>
    <w:rsid w:val="00E5512A"/>
    <w:rsid w:val="00E83A81"/>
    <w:rsid w:val="00E97600"/>
    <w:rsid w:val="00EE1487"/>
    <w:rsid w:val="00EF41E2"/>
    <w:rsid w:val="00EF7893"/>
    <w:rsid w:val="00F130B8"/>
    <w:rsid w:val="00F1739A"/>
    <w:rsid w:val="00F21CB5"/>
    <w:rsid w:val="00F23543"/>
    <w:rsid w:val="00F32B5D"/>
    <w:rsid w:val="00F533F9"/>
    <w:rsid w:val="00F573B5"/>
    <w:rsid w:val="00FA3F09"/>
    <w:rsid w:val="00FA7471"/>
    <w:rsid w:val="00FC3A45"/>
    <w:rsid w:val="00FD2CA3"/>
    <w:rsid w:val="00FF04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002D9"/>
  <w15:docId w15:val="{C52B0647-C99D-46B3-8143-347D5800E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es-ES"/>
    </w:rPr>
  </w:style>
  <w:style w:type="paragraph" w:styleId="Ttulo1">
    <w:name w:val="heading 1"/>
    <w:basedOn w:val="Normal"/>
    <w:uiPriority w:val="9"/>
    <w:qFormat/>
    <w:pPr>
      <w:ind w:left="840" w:right="2580"/>
      <w:jc w:val="center"/>
      <w:outlineLvl w:val="0"/>
    </w:pPr>
    <w:rPr>
      <w:rFonts w:ascii="Arial" w:eastAsia="Arial" w:hAnsi="Arial" w:cs="Arial"/>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aliases w:val="titulo 3,NORMAL,Bullet List,FooterText,numbered,Paragraphe de liste1,lp1,Párrafo de lista4,Numerado negrita propuestas,Numerado informes,Cita textual,Bulletr List Paragraph,列出段落,列出段落1,List Paragraph21,Listeafsnit1,Parágrafo da Lista1,Ha"/>
    <w:basedOn w:val="Normal"/>
    <w:link w:val="PrrafodelistaCar"/>
    <w:uiPriority w:val="34"/>
    <w:qFormat/>
    <w:pPr>
      <w:ind w:left="1124" w:hanging="311"/>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155327"/>
    <w:pPr>
      <w:tabs>
        <w:tab w:val="center" w:pos="4419"/>
        <w:tab w:val="right" w:pos="8838"/>
      </w:tabs>
    </w:pPr>
  </w:style>
  <w:style w:type="character" w:customStyle="1" w:styleId="EncabezadoCar">
    <w:name w:val="Encabezado Car"/>
    <w:basedOn w:val="Fuentedeprrafopredeter"/>
    <w:link w:val="Encabezado"/>
    <w:uiPriority w:val="99"/>
    <w:rsid w:val="00155327"/>
    <w:rPr>
      <w:rFonts w:ascii="Lucida Sans Unicode" w:eastAsia="Lucida Sans Unicode" w:hAnsi="Lucida Sans Unicode" w:cs="Lucida Sans Unicode"/>
      <w:lang w:val="es-ES"/>
    </w:rPr>
  </w:style>
  <w:style w:type="paragraph" w:styleId="Piedepgina">
    <w:name w:val="footer"/>
    <w:basedOn w:val="Normal"/>
    <w:link w:val="PiedepginaCar"/>
    <w:uiPriority w:val="99"/>
    <w:unhideWhenUsed/>
    <w:rsid w:val="00155327"/>
    <w:pPr>
      <w:tabs>
        <w:tab w:val="center" w:pos="4419"/>
        <w:tab w:val="right" w:pos="8838"/>
      </w:tabs>
    </w:pPr>
  </w:style>
  <w:style w:type="character" w:customStyle="1" w:styleId="PiedepginaCar">
    <w:name w:val="Pie de página Car"/>
    <w:basedOn w:val="Fuentedeprrafopredeter"/>
    <w:link w:val="Piedepgina"/>
    <w:uiPriority w:val="99"/>
    <w:rsid w:val="00155327"/>
    <w:rPr>
      <w:rFonts w:ascii="Lucida Sans Unicode" w:eastAsia="Lucida Sans Unicode" w:hAnsi="Lucida Sans Unicode" w:cs="Lucida Sans Unicode"/>
      <w:lang w:val="es-ES"/>
    </w:rPr>
  </w:style>
  <w:style w:type="paragraph" w:customStyle="1" w:styleId="Default">
    <w:name w:val="Default"/>
    <w:link w:val="DefaultCar"/>
    <w:qFormat/>
    <w:rsid w:val="004839F4"/>
    <w:pPr>
      <w:adjustRightInd w:val="0"/>
    </w:pPr>
    <w:rPr>
      <w:rFonts w:ascii="Arial" w:eastAsia="Calibri" w:hAnsi="Arial" w:cs="Arial"/>
      <w:color w:val="000000"/>
      <w:sz w:val="24"/>
      <w:szCs w:val="24"/>
    </w:rPr>
  </w:style>
  <w:style w:type="character" w:customStyle="1" w:styleId="PrrafodelistaCar">
    <w:name w:val="Párrafo de lista Car"/>
    <w:aliases w:val="titulo 3 Car,NORMAL Car,Bullet List Car,FooterText Car,numbered Car,Paragraphe de liste1 Car,lp1 Car,Párrafo de lista4 Car,Numerado negrita propuestas Car,Numerado informes Car,Cita textual Car,Bulletr List Paragraph Car,列出段落 Car"/>
    <w:link w:val="Prrafodelista"/>
    <w:uiPriority w:val="34"/>
    <w:qFormat/>
    <w:rsid w:val="00C402BA"/>
    <w:rPr>
      <w:rFonts w:ascii="Lucida Sans Unicode" w:eastAsia="Lucida Sans Unicode" w:hAnsi="Lucida Sans Unicode" w:cs="Lucida Sans Unicode"/>
      <w:lang w:val="es-ES"/>
    </w:rPr>
  </w:style>
  <w:style w:type="paragraph" w:styleId="Sinespaciado">
    <w:name w:val="No Spacing"/>
    <w:link w:val="SinespaciadoCar"/>
    <w:uiPriority w:val="1"/>
    <w:qFormat/>
    <w:rsid w:val="007542E1"/>
    <w:pPr>
      <w:widowControl/>
      <w:autoSpaceDE/>
      <w:autoSpaceDN/>
    </w:pPr>
    <w:rPr>
      <w:sz w:val="24"/>
      <w:szCs w:val="24"/>
      <w:lang w:val="es-CO"/>
    </w:rPr>
  </w:style>
  <w:style w:type="character" w:customStyle="1" w:styleId="SinespaciadoCar">
    <w:name w:val="Sin espaciado Car"/>
    <w:link w:val="Sinespaciado"/>
    <w:uiPriority w:val="1"/>
    <w:rsid w:val="007542E1"/>
    <w:rPr>
      <w:sz w:val="24"/>
      <w:szCs w:val="24"/>
      <w:lang w:val="es-CO"/>
    </w:rPr>
  </w:style>
  <w:style w:type="paragraph" w:styleId="NormalWeb">
    <w:name w:val="Normal (Web)"/>
    <w:aliases w:val="Normal (Web) Car,Normal (Web) Car Car,Normal (Web) Car Car Car,Normal (Web) Car Car Car Car Car Car,Normal (Web) Car Car Car Car Car Car Car Car Car,Normal (Web) Char,Normal (Web)2,Normal (Web)1,Car Car Car Car Car Car Car Car Car Car,Car2"/>
    <w:basedOn w:val="Normal"/>
    <w:link w:val="NormalWebCar1"/>
    <w:uiPriority w:val="99"/>
    <w:unhideWhenUsed/>
    <w:qFormat/>
    <w:rsid w:val="009F2B88"/>
    <w:pPr>
      <w:widowControl/>
      <w:autoSpaceDE/>
      <w:autoSpaceDN/>
      <w:spacing w:before="100" w:beforeAutospacing="1" w:after="100" w:afterAutospacing="1" w:line="259" w:lineRule="auto"/>
    </w:pPr>
    <w:rPr>
      <w:rFonts w:ascii="Times New Roman" w:eastAsia="Times New Roman" w:hAnsi="Times New Roman" w:cs="Times New Roman"/>
      <w:lang w:val="es-CO" w:eastAsia="es-ES_tradnl"/>
    </w:rPr>
  </w:style>
  <w:style w:type="character" w:styleId="Hipervnculo">
    <w:name w:val="Hyperlink"/>
    <w:uiPriority w:val="99"/>
    <w:unhideWhenUsed/>
    <w:rsid w:val="009F2B88"/>
    <w:rPr>
      <w:color w:val="0000FF"/>
      <w:u w:val="single"/>
    </w:rPr>
  </w:style>
  <w:style w:type="character" w:customStyle="1" w:styleId="DefaultCar">
    <w:name w:val="Default Car"/>
    <w:link w:val="Default"/>
    <w:qFormat/>
    <w:locked/>
    <w:rsid w:val="009F2B88"/>
    <w:rPr>
      <w:rFonts w:ascii="Arial" w:eastAsia="Calibri" w:hAnsi="Arial" w:cs="Arial"/>
      <w:color w:val="000000"/>
      <w:sz w:val="24"/>
      <w:szCs w:val="24"/>
    </w:rPr>
  </w:style>
  <w:style w:type="character" w:customStyle="1" w:styleId="NormalWebCar1">
    <w:name w:val="Normal (Web) Car1"/>
    <w:aliases w:val="Normal (Web) Car Car1,Normal (Web) Car Car Car1,Normal (Web) Car Car Car Car,Normal (Web) Car Car Car Car Car Car Car,Normal (Web) Car Car Car Car Car Car Car Car Car Car,Normal (Web) Char Car,Normal (Web)2 Car,Normal (Web)1 Car"/>
    <w:link w:val="NormalWeb"/>
    <w:uiPriority w:val="99"/>
    <w:locked/>
    <w:rsid w:val="009F2B88"/>
    <w:rPr>
      <w:rFonts w:ascii="Times New Roman" w:eastAsia="Times New Roman" w:hAnsi="Times New Roman" w:cs="Times New Roman"/>
      <w:lang w:val="es-CO" w:eastAsia="es-ES_tradnl"/>
    </w:rPr>
  </w:style>
  <w:style w:type="character" w:styleId="Textoennegrita">
    <w:name w:val="Strong"/>
    <w:uiPriority w:val="22"/>
    <w:qFormat/>
    <w:rsid w:val="009F2B88"/>
    <w:rPr>
      <w:b/>
      <w:bCs/>
    </w:rPr>
  </w:style>
  <w:style w:type="paragraph" w:customStyle="1" w:styleId="mt-3">
    <w:name w:val="mt-3"/>
    <w:basedOn w:val="Normal"/>
    <w:rsid w:val="009F2B8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Mencinsinresolver">
    <w:name w:val="Unresolved Mention"/>
    <w:basedOn w:val="Fuentedeprrafopredeter"/>
    <w:uiPriority w:val="99"/>
    <w:semiHidden/>
    <w:unhideWhenUsed/>
    <w:rsid w:val="00AE6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733073">
      <w:bodyDiv w:val="1"/>
      <w:marLeft w:val="0"/>
      <w:marRight w:val="0"/>
      <w:marTop w:val="0"/>
      <w:marBottom w:val="0"/>
      <w:divBdr>
        <w:top w:val="none" w:sz="0" w:space="0" w:color="auto"/>
        <w:left w:val="none" w:sz="0" w:space="0" w:color="auto"/>
        <w:bottom w:val="none" w:sz="0" w:space="0" w:color="auto"/>
        <w:right w:val="none" w:sz="0" w:space="0" w:color="auto"/>
      </w:divBdr>
    </w:div>
    <w:div w:id="346757830">
      <w:bodyDiv w:val="1"/>
      <w:marLeft w:val="0"/>
      <w:marRight w:val="0"/>
      <w:marTop w:val="0"/>
      <w:marBottom w:val="0"/>
      <w:divBdr>
        <w:top w:val="none" w:sz="0" w:space="0" w:color="auto"/>
        <w:left w:val="none" w:sz="0" w:space="0" w:color="auto"/>
        <w:bottom w:val="none" w:sz="0" w:space="0" w:color="auto"/>
        <w:right w:val="none" w:sz="0" w:space="0" w:color="auto"/>
      </w:divBdr>
    </w:div>
    <w:div w:id="1070663639">
      <w:bodyDiv w:val="1"/>
      <w:marLeft w:val="0"/>
      <w:marRight w:val="0"/>
      <w:marTop w:val="0"/>
      <w:marBottom w:val="0"/>
      <w:divBdr>
        <w:top w:val="none" w:sz="0" w:space="0" w:color="auto"/>
        <w:left w:val="none" w:sz="0" w:space="0" w:color="auto"/>
        <w:bottom w:val="none" w:sz="0" w:space="0" w:color="auto"/>
        <w:right w:val="none" w:sz="0" w:space="0" w:color="auto"/>
      </w:divBdr>
    </w:div>
    <w:div w:id="1355616748">
      <w:bodyDiv w:val="1"/>
      <w:marLeft w:val="0"/>
      <w:marRight w:val="0"/>
      <w:marTop w:val="0"/>
      <w:marBottom w:val="0"/>
      <w:divBdr>
        <w:top w:val="none" w:sz="0" w:space="0" w:color="auto"/>
        <w:left w:val="none" w:sz="0" w:space="0" w:color="auto"/>
        <w:bottom w:val="none" w:sz="0" w:space="0" w:color="auto"/>
        <w:right w:val="none" w:sz="0" w:space="0" w:color="auto"/>
      </w:divBdr>
    </w:div>
    <w:div w:id="14544405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asecolda.com/fasecolda/estadisticas-del-sector/estadisticas-por-ramo/"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leyes.senado.gov.co"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www.supersociedades.gov.co/delegatura_aec/estudios_financieros/sirem/forms/allitems.aspx"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hyperlink" Target="https://fasecold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siis.ia.supersociedades.gov.co/" TargetMode="External"/><Relationship Id="rId32" Type="http://schemas.openxmlformats.org/officeDocument/2006/relationships/hyperlink" Target="https://www.superfinanciera.gov.co/jsp/index.jsf"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asecolda.com/fasecolda/estadisticas-del-sector/visualizador-inteligente-de-cifras/" TargetMode="External"/><Relationship Id="rId23" Type="http://schemas.openxmlformats.org/officeDocument/2006/relationships/image" Target="media/image14.png"/><Relationship Id="rId28" Type="http://schemas.openxmlformats.org/officeDocument/2006/relationships/hyperlink" Target="https://www.rues.org.co/" TargetMode="External"/><Relationship Id="rId36" Type="http://schemas.openxmlformats.org/officeDocument/2006/relationships/hyperlink" Target="https://fasecolda.com/fasecolda/estadisticas-del-sector/visualizador-inteligente-de-cifras" TargetMode="External"/><Relationship Id="rId10" Type="http://schemas.openxmlformats.org/officeDocument/2006/relationships/hyperlink" Target="https://www.fasecolda.com/fasecolda/estadisticas-del-sector/" TargetMode="External"/><Relationship Id="rId19" Type="http://schemas.openxmlformats.org/officeDocument/2006/relationships/image" Target="media/image10.png"/><Relationship Id="rId31" Type="http://schemas.openxmlformats.org/officeDocument/2006/relationships/hyperlink" Target="https://colombiacompra.gov.c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previsora.gov.co/" TargetMode="External"/><Relationship Id="rId35" Type="http://schemas.openxmlformats.org/officeDocument/2006/relationships/hyperlink" Target="https://www.dane.gov.co/files/investigaciones/boletines/pib/bol_PIB_IItrim22_producion_y_gasto"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353</TotalTime>
  <Pages>27</Pages>
  <Words>7305</Words>
  <Characters>40179</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 Gabriel Castaño Garcia</dc:creator>
  <cp:lastModifiedBy>Martha Liliana Perea Heredia</cp:lastModifiedBy>
  <cp:revision>279</cp:revision>
  <dcterms:created xsi:type="dcterms:W3CDTF">2023-07-05T20:55:00Z</dcterms:created>
  <dcterms:modified xsi:type="dcterms:W3CDTF">2025-08-29T19:41:00Z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Microsoft® Word 2019</vt:lpwstr>
  </property>
  <property fmtid="{D5CDD505-2E9C-101B-9397-08002B2CF9AE}" pid="4" name="LastSaved">
    <vt:filetime>2023-01-26T00:00:00Z</vt:filetime>
  </property>
</Properties>
</file>